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BD" w:rsidRDefault="007F20BD"/>
    <w:tbl>
      <w:tblPr>
        <w:tblStyle w:val="Tablaconcuadrcula"/>
        <w:tblW w:w="0" w:type="auto"/>
        <w:tblInd w:w="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30"/>
      </w:tblGrid>
      <w:tr w:rsidR="007F20BD" w:rsidTr="007F20BD">
        <w:tc>
          <w:tcPr>
            <w:tcW w:w="4488" w:type="dxa"/>
          </w:tcPr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 wp14:anchorId="5765884C" wp14:editId="6D2AB661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109855</wp:posOffset>
                  </wp:positionV>
                  <wp:extent cx="562610" cy="712470"/>
                  <wp:effectExtent l="0" t="0" r="8890" b="0"/>
                  <wp:wrapTight wrapText="bothSides">
                    <wp:wrapPolygon edited="0">
                      <wp:start x="0" y="0"/>
                      <wp:lineTo x="0" y="20791"/>
                      <wp:lineTo x="21210" y="20791"/>
                      <wp:lineTo x="21210" y="0"/>
                      <wp:lineTo x="0" y="0"/>
                    </wp:wrapPolygon>
                  </wp:wrapTight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7F20BD" w:rsidRP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sz w:val="22"/>
              </w:rPr>
            </w:pPr>
            <w:r w:rsidRPr="007F20BD">
              <w:rPr>
                <w:b/>
                <w:sz w:val="22"/>
              </w:rPr>
              <w:t>UNIVERSIDAD DEL SALVADOR</w:t>
            </w:r>
          </w:p>
          <w:p w:rsid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i/>
                <w:sz w:val="22"/>
              </w:rPr>
            </w:pPr>
            <w:r w:rsidRPr="007F20BD">
              <w:rPr>
                <w:b/>
                <w:i/>
                <w:sz w:val="22"/>
              </w:rPr>
              <w:t xml:space="preserve">Facultad de Ciencias Sociales, Educación </w:t>
            </w:r>
          </w:p>
          <w:p w:rsidR="007F20BD" w:rsidRPr="007F20BD" w:rsidRDefault="007F20BD" w:rsidP="007F20BD">
            <w:pPr>
              <w:spacing w:after="3" w:line="259" w:lineRule="auto"/>
              <w:ind w:left="0" w:firstLine="0"/>
              <w:jc w:val="center"/>
              <w:rPr>
                <w:b/>
                <w:i/>
                <w:sz w:val="22"/>
              </w:rPr>
            </w:pPr>
            <w:r w:rsidRPr="007F20BD">
              <w:rPr>
                <w:b/>
                <w:i/>
                <w:sz w:val="22"/>
              </w:rPr>
              <w:t>y Comunicación</w:t>
            </w:r>
          </w:p>
        </w:tc>
        <w:tc>
          <w:tcPr>
            <w:tcW w:w="4430" w:type="dxa"/>
          </w:tcPr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Default="007F20BD" w:rsidP="007F20BD">
            <w:pPr>
              <w:spacing w:after="14" w:line="236" w:lineRule="auto"/>
              <w:ind w:left="0" w:right="171" w:firstLine="0"/>
              <w:rPr>
                <w:sz w:val="22"/>
              </w:rPr>
            </w:pPr>
          </w:p>
          <w:p w:rsidR="007F20BD" w:rsidRPr="007F20BD" w:rsidRDefault="007F20BD" w:rsidP="007F20BD">
            <w:pPr>
              <w:spacing w:after="14" w:line="236" w:lineRule="auto"/>
              <w:ind w:left="0" w:right="171" w:firstLine="0"/>
              <w:jc w:val="center"/>
              <w:rPr>
                <w:b/>
                <w:sz w:val="22"/>
              </w:rPr>
            </w:pPr>
            <w:r w:rsidRPr="007F20BD">
              <w:rPr>
                <w:b/>
                <w:sz w:val="22"/>
              </w:rPr>
              <w:t>Licenciatura en Ciencia Política</w:t>
            </w:r>
          </w:p>
          <w:p w:rsidR="007F20BD" w:rsidRDefault="007F20BD">
            <w:pPr>
              <w:spacing w:after="3" w:line="259" w:lineRule="auto"/>
              <w:ind w:left="0" w:firstLine="0"/>
              <w:rPr>
                <w:b/>
                <w:sz w:val="22"/>
              </w:rPr>
            </w:pPr>
          </w:p>
        </w:tc>
      </w:tr>
    </w:tbl>
    <w:p w:rsidR="007F20BD" w:rsidRDefault="007F20BD">
      <w:pPr>
        <w:spacing w:after="3" w:line="259" w:lineRule="auto"/>
        <w:ind w:left="1448" w:hanging="10"/>
        <w:rPr>
          <w:b/>
          <w:sz w:val="22"/>
        </w:rPr>
      </w:pPr>
    </w:p>
    <w:p w:rsidR="007F20BD" w:rsidRDefault="007F20BD">
      <w:pPr>
        <w:spacing w:after="3" w:line="259" w:lineRule="auto"/>
        <w:ind w:left="1448" w:hanging="10"/>
        <w:rPr>
          <w:b/>
          <w:sz w:val="22"/>
        </w:rPr>
      </w:pPr>
    </w:p>
    <w:p w:rsidR="007F20BD" w:rsidRDefault="007F20BD">
      <w:pPr>
        <w:spacing w:after="3" w:line="259" w:lineRule="auto"/>
        <w:ind w:left="1448" w:hanging="10"/>
        <w:rPr>
          <w:b/>
          <w:sz w:val="22"/>
        </w:rPr>
      </w:pPr>
    </w:p>
    <w:p w:rsidR="00E236F7" w:rsidRDefault="00E236F7">
      <w:pPr>
        <w:spacing w:after="0" w:line="259" w:lineRule="auto"/>
        <w:ind w:left="614" w:firstLine="0"/>
      </w:pPr>
    </w:p>
    <w:p w:rsidR="007F20BD" w:rsidRPr="007F20BD" w:rsidRDefault="0026044A" w:rsidP="007F20BD">
      <w:pPr>
        <w:spacing w:after="130" w:line="259" w:lineRule="auto"/>
        <w:ind w:left="614" w:firstLine="0"/>
      </w:pPr>
      <w:r>
        <w:rPr>
          <w:b/>
          <w:i/>
          <w:sz w:val="16"/>
        </w:rPr>
        <w:t xml:space="preserve"> </w:t>
      </w:r>
    </w:p>
    <w:p w:rsidR="007F20BD" w:rsidRDefault="007F20BD" w:rsidP="007F20BD">
      <w:pPr>
        <w:spacing w:after="14" w:line="236" w:lineRule="auto"/>
        <w:ind w:left="6671" w:right="171" w:firstLine="0"/>
      </w:pPr>
    </w:p>
    <w:p w:rsidR="00E236F7" w:rsidRPr="007F20BD" w:rsidRDefault="007F20BD" w:rsidP="007F20BD">
      <w:pPr>
        <w:spacing w:after="28" w:line="259" w:lineRule="auto"/>
        <w:ind w:left="614" w:firstLine="0"/>
        <w:jc w:val="center"/>
        <w:rPr>
          <w:b/>
        </w:rPr>
      </w:pPr>
      <w:r>
        <w:rPr>
          <w:b/>
          <w:sz w:val="23"/>
        </w:rPr>
        <w:t>PROGRAMA 2026</w:t>
      </w:r>
    </w:p>
    <w:p w:rsidR="00E236F7" w:rsidRDefault="0026044A">
      <w:pPr>
        <w:spacing w:after="25" w:line="259" w:lineRule="auto"/>
        <w:ind w:left="614" w:right="-157" w:firstLine="0"/>
      </w:pPr>
      <w:r>
        <w:rPr>
          <w:b/>
          <w:sz w:val="19"/>
        </w:rP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6235490" cy="3406775"/>
            <wp:effectExtent l="0" t="0" r="0" b="3175"/>
            <wp:docPr id="10398" name="Picture 10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" name="Picture 10398"/>
                    <pic:cNvPicPr/>
                  </pic:nvPicPr>
                  <pic:blipFill rotWithShape="1">
                    <a:blip r:embed="rId8"/>
                    <a:srcRect t="22694"/>
                    <a:stretch/>
                  </pic:blipFill>
                  <pic:spPr bwMode="auto">
                    <a:xfrm>
                      <a:off x="0" y="0"/>
                      <a:ext cx="6236209" cy="3407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236F7" w:rsidRDefault="0026044A">
      <w:pPr>
        <w:spacing w:after="0" w:line="259" w:lineRule="auto"/>
        <w:ind w:left="614" w:firstLine="0"/>
      </w:pPr>
      <w:r>
        <w:rPr>
          <w:b/>
          <w:sz w:val="24"/>
        </w:rPr>
        <w:t xml:space="preserve"> </w:t>
      </w:r>
    </w:p>
    <w:p w:rsidR="00E236F7" w:rsidRDefault="0026044A">
      <w:pPr>
        <w:spacing w:after="185" w:line="259" w:lineRule="auto"/>
        <w:ind w:left="614" w:firstLine="0"/>
      </w:pPr>
      <w:r>
        <w:rPr>
          <w:b/>
          <w:sz w:val="24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CICLO:</w:t>
      </w:r>
      <w:r>
        <w:rPr>
          <w:b/>
          <w:sz w:val="24"/>
        </w:rPr>
        <w:t xml:space="preserve"> </w:t>
      </w:r>
    </w:p>
    <w:p w:rsidR="00E236F7" w:rsidRDefault="0026044A">
      <w:pPr>
        <w:spacing w:after="0" w:line="259" w:lineRule="auto"/>
        <w:ind w:left="725" w:firstLine="0"/>
      </w:pPr>
      <w:r>
        <w:rPr>
          <w:i/>
        </w:rPr>
        <w:t xml:space="preserve">(Marque con una cruz el ciclo correspondiente) </w:t>
      </w:r>
    </w:p>
    <w:p w:rsidR="00E236F7" w:rsidRDefault="0026044A">
      <w:pPr>
        <w:spacing w:after="0" w:line="259" w:lineRule="auto"/>
        <w:ind w:left="614" w:firstLine="0"/>
      </w:pPr>
      <w:r>
        <w:rPr>
          <w:i/>
        </w:rPr>
        <w:t xml:space="preserve"> </w:t>
      </w:r>
    </w:p>
    <w:p w:rsidR="00E236F7" w:rsidRDefault="0026044A">
      <w:pPr>
        <w:spacing w:after="0" w:line="259" w:lineRule="auto"/>
        <w:ind w:left="31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0939" cy="426720"/>
                <wp:effectExtent l="0" t="0" r="0" b="0"/>
                <wp:docPr id="10144" name="Group 1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939" cy="426720"/>
                          <a:chOff x="0" y="0"/>
                          <a:chExt cx="3040939" cy="426720"/>
                        </a:xfrm>
                      </wpg:grpSpPr>
                      <wps:wsp>
                        <wps:cNvPr id="10674" name="Shape 10674"/>
                        <wps:cNvSpPr/>
                        <wps:spPr>
                          <a:xfrm>
                            <a:off x="6096" y="6097"/>
                            <a:ext cx="589788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414528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4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5" name="Shape 10675"/>
                        <wps:cNvSpPr/>
                        <wps:spPr>
                          <a:xfrm>
                            <a:off x="6096" y="6097"/>
                            <a:ext cx="58978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28956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4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08204" y="170221"/>
                            <a:ext cx="518405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96824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731520" y="170221"/>
                            <a:ext cx="134636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32104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" name="Shape 10676"/>
                        <wps:cNvSpPr/>
                        <wps:spPr>
                          <a:xfrm>
                            <a:off x="963168" y="6097"/>
                            <a:ext cx="1728470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452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4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7" name="Shape 10677"/>
                        <wps:cNvSpPr/>
                        <wps:spPr>
                          <a:xfrm>
                            <a:off x="963168" y="6097"/>
                            <a:ext cx="17284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289560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4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207008" y="170221"/>
                            <a:ext cx="165237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449322" y="170221"/>
                            <a:ext cx="4661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699258" y="37264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" name="Shape 1067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9" name="Shape 10679"/>
                        <wps:cNvSpPr/>
                        <wps:spPr>
                          <a:xfrm>
                            <a:off x="6096" y="0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0" name="Shape 10680"/>
                        <wps:cNvSpPr/>
                        <wps:spPr>
                          <a:xfrm>
                            <a:off x="5958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1" name="Shape 10681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963168" y="0"/>
                            <a:ext cx="1729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9144">
                                <a:moveTo>
                                  <a:pt x="0" y="0"/>
                                </a:moveTo>
                                <a:lnTo>
                                  <a:pt x="1729994" y="0"/>
                                </a:lnTo>
                                <a:lnTo>
                                  <a:pt x="1729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26931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0" y="6097"/>
                            <a:ext cx="9144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0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6" name="Shape 10686"/>
                        <wps:cNvSpPr/>
                        <wps:spPr>
                          <a:xfrm>
                            <a:off x="6096" y="42062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7" name="Shape 10687"/>
                        <wps:cNvSpPr/>
                        <wps:spPr>
                          <a:xfrm>
                            <a:off x="595884" y="6097"/>
                            <a:ext cx="9144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8" name="Shape 10688"/>
                        <wps:cNvSpPr/>
                        <wps:spPr>
                          <a:xfrm>
                            <a:off x="595884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9" name="Shape 10689"/>
                        <wps:cNvSpPr/>
                        <wps:spPr>
                          <a:xfrm>
                            <a:off x="601980" y="420625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0" name="Shape 10690"/>
                        <wps:cNvSpPr/>
                        <wps:spPr>
                          <a:xfrm>
                            <a:off x="957072" y="6097"/>
                            <a:ext cx="9144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1" name="Shape 10691"/>
                        <wps:cNvSpPr/>
                        <wps:spPr>
                          <a:xfrm>
                            <a:off x="957072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2" name="Shape 10692"/>
                        <wps:cNvSpPr/>
                        <wps:spPr>
                          <a:xfrm>
                            <a:off x="963168" y="420625"/>
                            <a:ext cx="1729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9144">
                                <a:moveTo>
                                  <a:pt x="0" y="0"/>
                                </a:moveTo>
                                <a:lnTo>
                                  <a:pt x="1729994" y="0"/>
                                </a:lnTo>
                                <a:lnTo>
                                  <a:pt x="1729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3" name="Shape 10693"/>
                        <wps:cNvSpPr/>
                        <wps:spPr>
                          <a:xfrm>
                            <a:off x="2693162" y="6097"/>
                            <a:ext cx="9144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4" name="Shape 10694"/>
                        <wps:cNvSpPr/>
                        <wps:spPr>
                          <a:xfrm>
                            <a:off x="2693162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5" name="Shape 10695"/>
                        <wps:cNvSpPr/>
                        <wps:spPr>
                          <a:xfrm>
                            <a:off x="2699258" y="420625"/>
                            <a:ext cx="341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81" h="9144">
                                <a:moveTo>
                                  <a:pt x="0" y="0"/>
                                </a:moveTo>
                                <a:lnTo>
                                  <a:pt x="341681" y="0"/>
                                </a:lnTo>
                                <a:lnTo>
                                  <a:pt x="34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4" style="width:239.444pt;height:33.6pt;mso-position-horizontal-relative:char;mso-position-vertical-relative:line" coordsize="30409,4267">
                <v:shape id="Shape 10696" style="position:absolute;width:5897;height:4145;left:60;top:60;" coordsize="589788,414528" path="m0,0l589788,0l589788,414528l0,414528l0,0">
                  <v:stroke weight="0pt" endcap="flat" joinstyle="miter" miterlimit="10" on="false" color="#000000" opacity="0"/>
                  <v:fill on="true" color="#92c47c"/>
                </v:shape>
                <v:shape id="Shape 10697" style="position:absolute;width:5897;height:2895;left:60;top:60;" coordsize="589788,289560" path="m0,0l589788,0l589788,289560l0,289560l0,0">
                  <v:stroke weight="0pt" endcap="flat" joinstyle="miter" miterlimit="10" on="false" color="#000000" opacity="0"/>
                  <v:fill on="true" color="#92c47c"/>
                </v:shape>
                <v:rect id="Rectangle 237" style="position:absolute;width:5184;height:1666;left:1082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38" style="position:absolute;width:466;height:1666;left:4968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1346;height:1666;left:7315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0" style="position:absolute;width:466;height:1666;left:832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98" style="position:absolute;width:17284;height:4145;left:9631;top:60;" coordsize="1728470,414528" path="m0,0l1728470,0l1728470,414528l0,414528l0,0">
                  <v:stroke weight="0pt" endcap="flat" joinstyle="miter" miterlimit="10" on="false" color="#000000" opacity="0"/>
                  <v:fill on="true" color="#92c47c"/>
                </v:shape>
                <v:shape id="Shape 10699" style="position:absolute;width:17284;height:2895;left:9631;top:60;" coordsize="1728470,289560" path="m0,0l1728470,0l1728470,289560l0,289560l0,0">
                  <v:stroke weight="0pt" endcap="flat" joinstyle="miter" miterlimit="10" on="false" color="#000000" opacity="0"/>
                  <v:fill on="true" color="#92c47c"/>
                </v:shape>
                <v:rect id="Rectangle 243" style="position:absolute;width:16523;height:1666;left:1207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44" style="position:absolute;width:466;height:1666;left:2449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420;height:1530;left:26992;top: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070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01" style="position:absolute;width:5897;height:91;left:60;top:0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10702" style="position:absolute;width:91;height:91;left:59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03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04" style="position:absolute;width:17299;height:91;left:9631;top:0;" coordsize="1729994,9144" path="m0,0l1729994,0l1729994,9144l0,9144l0,0">
                  <v:stroke weight="0pt" endcap="flat" joinstyle="miter" miterlimit="10" on="false" color="#000000" opacity="0"/>
                  <v:fill on="true" color="#6aa84f"/>
                </v:shape>
                <v:shape id="Shape 10705" style="position:absolute;width:91;height:91;left:2693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06" style="position:absolute;width:91;height:4145;left:0;top:60;" coordsize="9144,414528" path="m0,0l9144,0l9144,414528l0,414528l0,0">
                  <v:stroke weight="0pt" endcap="flat" joinstyle="miter" miterlimit="10" on="false" color="#000000" opacity="0"/>
                  <v:fill on="true" color="#6aa84f"/>
                </v:shape>
                <v:shape id="Shape 10707" style="position:absolute;width:91;height:91;left:0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08" style="position:absolute;width:5897;height:91;left:60;top:4206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10709" style="position:absolute;width:91;height:4145;left:5958;top:60;" coordsize="9144,414528" path="m0,0l9144,0l9144,414528l0,414528l0,0">
                  <v:stroke weight="0pt" endcap="flat" joinstyle="miter" miterlimit="10" on="false" color="#000000" opacity="0"/>
                  <v:fill on="true" color="#6aa84f"/>
                </v:shape>
                <v:shape id="Shape 10710" style="position:absolute;width:91;height:91;left:5958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11" style="position:absolute;width:3550;height:91;left:6019;top:4206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10712" style="position:absolute;width:91;height:4145;left:9570;top:60;" coordsize="9144,414528" path="m0,0l9144,0l9144,414528l0,414528l0,0">
                  <v:stroke weight="0pt" endcap="flat" joinstyle="miter" miterlimit="10" on="false" color="#000000" opacity="0"/>
                  <v:fill on="true" color="#6aa84f"/>
                </v:shape>
                <v:shape id="Shape 10713" style="position:absolute;width:91;height:91;left:9570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14" style="position:absolute;width:17299;height:91;left:9631;top:4206;" coordsize="1729994,9144" path="m0,0l1729994,0l1729994,9144l0,9144l0,0">
                  <v:stroke weight="0pt" endcap="flat" joinstyle="miter" miterlimit="10" on="false" color="#000000" opacity="0"/>
                  <v:fill on="true" color="#6aa84f"/>
                </v:shape>
                <v:shape id="Shape 10715" style="position:absolute;width:91;height:4145;left:26931;top:60;" coordsize="9144,414528" path="m0,0l9144,0l9144,414528l0,414528l0,0">
                  <v:stroke weight="0pt" endcap="flat" joinstyle="miter" miterlimit="10" on="false" color="#000000" opacity="0"/>
                  <v:fill on="true" color="#6aa84f"/>
                </v:shape>
                <v:shape id="Shape 10716" style="position:absolute;width:91;height:91;left:26931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717" style="position:absolute;width:3416;height:91;left:26992;top:4206;" coordsize="341681,9144" path="m0,0l341681,0l341681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COMPOSICIÓN DE LA CÁTEDRA:</w:t>
      </w:r>
      <w:r>
        <w:rPr>
          <w:b/>
          <w:sz w:val="24"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b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b/>
          <w:sz w:val="21"/>
        </w:rPr>
        <w:t xml:space="preserve"> </w:t>
      </w:r>
    </w:p>
    <w:tbl>
      <w:tblPr>
        <w:tblStyle w:val="TableGrid"/>
        <w:tblW w:w="8865" w:type="dxa"/>
        <w:tblInd w:w="740" w:type="dxa"/>
        <w:tblCellMar>
          <w:top w:w="59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E236F7">
        <w:trPr>
          <w:trHeight w:val="678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2C47C"/>
          </w:tcPr>
          <w:p w:rsidR="00E236F7" w:rsidRDefault="0026044A">
            <w:pPr>
              <w:spacing w:after="0" w:line="259" w:lineRule="auto"/>
              <w:ind w:left="98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E236F7" w:rsidRDefault="0026044A">
            <w:pPr>
              <w:spacing w:after="0" w:line="259" w:lineRule="auto"/>
              <w:ind w:left="100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E236F7" w:rsidRDefault="0026044A">
            <w:pPr>
              <w:spacing w:after="0" w:line="259" w:lineRule="auto"/>
              <w:ind w:left="100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E236F7">
        <w:trPr>
          <w:trHeight w:val="667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E236F7" w:rsidRDefault="0026044A">
            <w:pPr>
              <w:spacing w:after="0" w:line="259" w:lineRule="auto"/>
              <w:ind w:left="98" w:firstLine="0"/>
            </w:pPr>
            <w:r>
              <w:rPr>
                <w:b/>
                <w:sz w:val="22"/>
              </w:rPr>
              <w:t xml:space="preserve">Titular: Camilo Mason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100" w:firstLine="0"/>
            </w:pPr>
            <w:r>
              <w:rPr>
                <w:b/>
                <w:sz w:val="18"/>
              </w:rPr>
              <w:t xml:space="preserve">mason.victorcamilo@usal.edu.ar </w:t>
            </w:r>
          </w:p>
        </w:tc>
      </w:tr>
      <w:tr w:rsidR="00E236F7">
        <w:trPr>
          <w:trHeight w:val="6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E236F7" w:rsidRDefault="0026044A">
            <w:pPr>
              <w:spacing w:after="0" w:line="259" w:lineRule="auto"/>
              <w:ind w:left="98" w:firstLine="0"/>
            </w:pPr>
            <w:r>
              <w:rPr>
                <w:b/>
                <w:sz w:val="22"/>
              </w:rPr>
              <w:lastRenderedPageBreak/>
              <w:t xml:space="preserve">Adjunto/Asociado/Auxiliar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E236F7">
        <w:trPr>
          <w:trHeight w:val="456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E236F7" w:rsidRDefault="0026044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36F7" w:rsidRDefault="0026044A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:rsidR="00E236F7" w:rsidRDefault="0026044A">
      <w:pPr>
        <w:spacing w:after="0" w:line="259" w:lineRule="auto"/>
        <w:ind w:left="720" w:hanging="10"/>
      </w:pPr>
      <w:r>
        <w:rPr>
          <w:b/>
          <w:sz w:val="22"/>
        </w:rPr>
        <w:t>*</w:t>
      </w:r>
      <w:r>
        <w:rPr>
          <w:sz w:val="22"/>
        </w:rPr>
        <w:t xml:space="preserve">A cargo -Tutor </w:t>
      </w:r>
    </w:p>
    <w:p w:rsidR="00E236F7" w:rsidRDefault="0026044A">
      <w:pPr>
        <w:spacing w:after="0" w:line="259" w:lineRule="auto"/>
        <w:ind w:left="614" w:firstLine="0"/>
      </w:pPr>
      <w: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sz w:val="21"/>
        </w:rPr>
        <w:t xml:space="preserve"> </w:t>
      </w:r>
    </w:p>
    <w:tbl>
      <w:tblPr>
        <w:tblStyle w:val="TableGrid"/>
        <w:tblW w:w="8868" w:type="dxa"/>
        <w:tblInd w:w="736" w:type="dxa"/>
        <w:tblCellMar>
          <w:top w:w="0" w:type="dxa"/>
          <w:left w:w="99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386"/>
        <w:gridCol w:w="4482"/>
      </w:tblGrid>
      <w:tr w:rsidR="00E236F7">
        <w:trPr>
          <w:trHeight w:val="686"/>
        </w:trPr>
        <w:tc>
          <w:tcPr>
            <w:tcW w:w="43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2C47C"/>
            <w:vAlign w:val="center"/>
          </w:tcPr>
          <w:p w:rsidR="00E236F7" w:rsidRDefault="0026044A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Asesor técnico-pedagógico </w:t>
            </w:r>
          </w:p>
          <w:p w:rsidR="00E236F7" w:rsidRDefault="0026044A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 xml:space="preserve">(Completar si la materia tiene carga horaria a distancia) 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E236F7" w:rsidRDefault="00E236F7">
            <w:pPr>
              <w:spacing w:after="160" w:line="259" w:lineRule="auto"/>
              <w:ind w:left="0" w:firstLine="0"/>
            </w:pPr>
          </w:p>
        </w:tc>
      </w:tr>
    </w:tbl>
    <w:p w:rsidR="00E236F7" w:rsidRDefault="0026044A">
      <w:pPr>
        <w:spacing w:after="0" w:line="259" w:lineRule="auto"/>
        <w:ind w:left="614" w:firstLine="0"/>
      </w:pPr>
      <w:r>
        <w:t xml:space="preserve"> </w:t>
      </w:r>
    </w:p>
    <w:p w:rsidR="00E236F7" w:rsidRDefault="0026044A">
      <w:pPr>
        <w:spacing w:after="27" w:line="259" w:lineRule="auto"/>
        <w:ind w:left="614" w:firstLine="0"/>
      </w:pPr>
      <w: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sz w:val="24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EJE/ÁREA EN QUE SE ENCUENTRA LA MATERIA/SEMINARIO DENTRO DE LA CARRERA:</w:t>
      </w:r>
      <w:r>
        <w:rPr>
          <w:b/>
          <w:sz w:val="24"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b/>
          <w:sz w:val="22"/>
        </w:rPr>
        <w:t xml:space="preserve"> </w:t>
      </w:r>
    </w:p>
    <w:p w:rsidR="00E236F7" w:rsidRDefault="0026044A">
      <w:pPr>
        <w:spacing w:after="0" w:line="259" w:lineRule="auto"/>
        <w:ind w:left="720" w:hanging="10"/>
      </w:pPr>
      <w:r>
        <w:rPr>
          <w:sz w:val="22"/>
        </w:rPr>
        <w:t xml:space="preserve">Ciclo de Formación Disciplinaria </w:t>
      </w:r>
      <w:r>
        <w:rPr>
          <w:sz w:val="22"/>
        </w:rPr>
        <w:t>–</w:t>
      </w:r>
      <w:r>
        <w:rPr>
          <w:sz w:val="22"/>
        </w:rPr>
        <w:t xml:space="preserve"> Formación Superior. </w:t>
      </w:r>
    </w:p>
    <w:p w:rsidR="00E236F7" w:rsidRDefault="0026044A">
      <w:pPr>
        <w:spacing w:after="2" w:line="259" w:lineRule="auto"/>
        <w:ind w:left="614" w:firstLine="0"/>
      </w:pPr>
      <w:r>
        <w:rPr>
          <w:sz w:val="22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FUNDAMENTACIÓN DE LA MATERIA/SEMINARIO EN LA CARRERA:</w:t>
      </w:r>
      <w:r>
        <w:rPr>
          <w:b/>
          <w:sz w:val="24"/>
        </w:rPr>
        <w:t xml:space="preserve"> </w:t>
      </w:r>
    </w:p>
    <w:p w:rsidR="00E236F7" w:rsidRDefault="0026044A">
      <w:pPr>
        <w:spacing w:after="18" w:line="241" w:lineRule="auto"/>
        <w:ind w:left="727" w:hanging="2"/>
      </w:pPr>
      <w:r>
        <w:rPr>
          <w:i/>
          <w:color w:val="49452A"/>
        </w:rPr>
        <w:t>La aplicación de las herramientas analíticas aprendidas en las materias específicas de economía, tales como</w:t>
      </w:r>
      <w:r>
        <w:rPr>
          <w:i/>
        </w:rPr>
        <w:t xml:space="preserve"> </w:t>
      </w:r>
      <w:r>
        <w:rPr>
          <w:i/>
          <w:color w:val="49452A"/>
        </w:rPr>
        <w:t>microeconomía y macroeconomía, es fundamental para el entendimiento de la coyuntura política de la Argentina y la comprensión de las políticas públi</w:t>
      </w:r>
      <w:r>
        <w:rPr>
          <w:i/>
          <w:color w:val="49452A"/>
        </w:rPr>
        <w:t>cas aplicadas en la actualidad y en los períodos anteriores</w:t>
      </w:r>
      <w:r>
        <w:rPr>
          <w:i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spacing w:after="2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OBJETIVOS DE LA MATERIA:</w:t>
      </w:r>
      <w:r>
        <w:rPr>
          <w:b/>
          <w:sz w:val="24"/>
        </w:rPr>
        <w:t xml:space="preserve"> </w:t>
      </w:r>
    </w:p>
    <w:p w:rsidR="00E236F7" w:rsidRDefault="0026044A">
      <w:pPr>
        <w:spacing w:after="9" w:line="250" w:lineRule="auto"/>
        <w:ind w:left="720" w:right="633" w:hanging="10"/>
      </w:pPr>
      <w:r>
        <w:rPr>
          <w:i/>
          <w:color w:val="49442A"/>
        </w:rPr>
        <w:t>Introducir a los estudiantes en los principales tópicos de la historia económica de la Argentina, utilizando</w:t>
      </w:r>
      <w:r>
        <w:rPr>
          <w:i/>
        </w:rPr>
        <w:t xml:space="preserve"> </w:t>
      </w:r>
      <w:r>
        <w:rPr>
          <w:i/>
          <w:color w:val="49442A"/>
        </w:rPr>
        <w:t>como herramientas de análisis los desarrollos elaborad</w:t>
      </w:r>
      <w:r>
        <w:rPr>
          <w:i/>
          <w:color w:val="49442A"/>
        </w:rPr>
        <w:t>os por la ciencia económica, con especial énfasis en el estudio de los procesos de aplicación de las políticas tanto coyunturales como estructurales, diferentes teorías del crecimiento y aspectos fundamentales del desarrollo económico. Se procurará brindar</w:t>
      </w:r>
      <w:r>
        <w:rPr>
          <w:i/>
          <w:color w:val="49442A"/>
        </w:rPr>
        <w:t xml:space="preserve"> un marco analítico adecuado para la interpretación de los efectos prácticos de la política económica que se implementa en el contexto de la economía argentina</w:t>
      </w:r>
      <w:r>
        <w:rPr>
          <w:i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spacing w:after="5" w:line="259" w:lineRule="auto"/>
        <w:ind w:left="614" w:firstLine="0"/>
      </w:pPr>
      <w:r>
        <w:rPr>
          <w:i/>
          <w:sz w:val="22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3" w:line="259" w:lineRule="auto"/>
        <w:ind w:hanging="725"/>
      </w:pPr>
      <w:r>
        <w:rPr>
          <w:b/>
          <w:sz w:val="22"/>
        </w:rPr>
        <w:t>ASIGNACIÓN HORARIA:</w:t>
      </w:r>
      <w:r>
        <w:rPr>
          <w:b/>
          <w:sz w:val="24"/>
        </w:rPr>
        <w:t xml:space="preserve"> </w:t>
      </w:r>
    </w:p>
    <w:p w:rsidR="00E236F7" w:rsidRDefault="0026044A">
      <w:pPr>
        <w:spacing w:after="9" w:line="250" w:lineRule="auto"/>
        <w:ind w:left="720" w:hanging="10"/>
      </w:pPr>
      <w:r>
        <w:rPr>
          <w:i/>
          <w:color w:val="49442A"/>
        </w:rPr>
        <w:t>(La información consignada debe coincidir con la información que bri</w:t>
      </w:r>
      <w:r>
        <w:rPr>
          <w:i/>
          <w:color w:val="49442A"/>
        </w:rPr>
        <w:t>nda la Resolución Rectoral que aprueba el plan</w:t>
      </w:r>
      <w:r>
        <w:rPr>
          <w:i/>
        </w:rPr>
        <w:t xml:space="preserve"> </w:t>
      </w:r>
      <w:r>
        <w:rPr>
          <w:i/>
          <w:color w:val="49442A"/>
        </w:rPr>
        <w:t>de estudios de la carrera).</w:t>
      </w:r>
      <w:r>
        <w:rPr>
          <w:i/>
        </w:rPr>
        <w:t xml:space="preserve"> </w:t>
      </w:r>
    </w:p>
    <w:tbl>
      <w:tblPr>
        <w:tblStyle w:val="TableGrid"/>
        <w:tblW w:w="8015" w:type="dxa"/>
        <w:tblInd w:w="1550" w:type="dxa"/>
        <w:tblCellMar>
          <w:top w:w="53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908"/>
        <w:gridCol w:w="907"/>
        <w:gridCol w:w="198"/>
        <w:gridCol w:w="959"/>
        <w:gridCol w:w="33"/>
        <w:gridCol w:w="1010"/>
      </w:tblGrid>
      <w:tr w:rsidR="00E236F7">
        <w:trPr>
          <w:trHeight w:val="716"/>
        </w:trPr>
        <w:tc>
          <w:tcPr>
            <w:tcW w:w="4908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-1" w:firstLine="0"/>
            </w:pP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  <w:vAlign w:val="bottom"/>
          </w:tcPr>
          <w:p w:rsidR="00E236F7" w:rsidRDefault="0026044A">
            <w:pPr>
              <w:spacing w:after="0" w:line="259" w:lineRule="auto"/>
              <w:ind w:left="154" w:firstLine="0"/>
            </w:pPr>
            <w:r>
              <w:rPr>
                <w:b/>
                <w:sz w:val="22"/>
              </w:rPr>
              <w:t xml:space="preserve">Teórica </w:t>
            </w:r>
          </w:p>
        </w:tc>
        <w:tc>
          <w:tcPr>
            <w:tcW w:w="992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</w:tcPr>
          <w:p w:rsidR="00E236F7" w:rsidRDefault="0026044A">
            <w:pPr>
              <w:spacing w:after="8" w:line="259" w:lineRule="auto"/>
              <w:ind w:left="5" w:firstLine="0"/>
            </w:pPr>
            <w:r>
              <w:rPr>
                <w:i/>
                <w:sz w:val="19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87" w:firstLine="0"/>
            </w:pPr>
            <w:r>
              <w:rPr>
                <w:b/>
                <w:sz w:val="22"/>
              </w:rPr>
              <w:t>Práctica</w:t>
            </w:r>
          </w:p>
        </w:tc>
        <w:tc>
          <w:tcPr>
            <w:tcW w:w="101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</w:tcPr>
          <w:p w:rsidR="00E236F7" w:rsidRDefault="0026044A">
            <w:pPr>
              <w:spacing w:after="38" w:line="259" w:lineRule="auto"/>
              <w:ind w:left="6" w:firstLine="0"/>
            </w:pPr>
            <w:r>
              <w:rPr>
                <w:i/>
                <w:sz w:val="19"/>
              </w:rPr>
              <w:t xml:space="preserve"> </w:t>
            </w:r>
          </w:p>
          <w:p w:rsidR="00E236F7" w:rsidRDefault="0026044A">
            <w:pPr>
              <w:tabs>
                <w:tab w:val="center" w:pos="519"/>
              </w:tabs>
              <w:spacing w:after="0" w:line="259" w:lineRule="auto"/>
              <w:ind w:left="-23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Total </w:t>
            </w:r>
          </w:p>
        </w:tc>
      </w:tr>
      <w:tr w:rsidR="00E236F7">
        <w:trPr>
          <w:trHeight w:val="775"/>
        </w:trPr>
        <w:tc>
          <w:tcPr>
            <w:tcW w:w="490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  <w:vAlign w:val="center"/>
          </w:tcPr>
          <w:p w:rsidR="00E236F7" w:rsidRDefault="0026044A">
            <w:pPr>
              <w:spacing w:after="0" w:line="259" w:lineRule="auto"/>
              <w:ind w:left="107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t xml:space="preserve">(precisar: </w:t>
            </w:r>
          </w:p>
          <w:p w:rsidR="00E236F7" w:rsidRDefault="0026044A">
            <w:pPr>
              <w:spacing w:after="0" w:line="259" w:lineRule="auto"/>
              <w:ind w:left="112" w:firstLine="0"/>
            </w:pPr>
            <w:r>
              <w:t xml:space="preserve">presencial - mediante videoconferencia) </w:t>
            </w:r>
          </w:p>
        </w:tc>
        <w:tc>
          <w:tcPr>
            <w:tcW w:w="1105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5" w:firstLine="0"/>
            </w:pPr>
            <w:r>
              <w:rPr>
                <w:i/>
                <w:sz w:val="21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992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6" w:firstLine="0"/>
            </w:pPr>
            <w:r>
              <w:rPr>
                <w:i/>
                <w:sz w:val="21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09" w:firstLine="0"/>
            </w:pPr>
            <w:r>
              <w:rPr>
                <w:sz w:val="22"/>
              </w:rPr>
              <w:t xml:space="preserve">54 </w:t>
            </w:r>
          </w:p>
        </w:tc>
      </w:tr>
      <w:tr w:rsidR="00E236F7">
        <w:trPr>
          <w:trHeight w:val="777"/>
        </w:trPr>
        <w:tc>
          <w:tcPr>
            <w:tcW w:w="490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  <w:vAlign w:val="center"/>
          </w:tcPr>
          <w:p w:rsidR="00E236F7" w:rsidRDefault="0026044A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E236F7" w:rsidRDefault="0026044A">
            <w:pPr>
              <w:spacing w:after="0" w:line="259" w:lineRule="auto"/>
              <w:ind w:left="106" w:firstLine="0"/>
            </w:pPr>
            <w:r>
              <w:t xml:space="preserve">(trabajo asincrónico en plataformas </w:t>
            </w:r>
            <w:r>
              <w:rPr>
                <w:b/>
              </w:rPr>
              <w:t xml:space="preserve">- </w:t>
            </w:r>
            <w:r>
              <w:t xml:space="preserve">en horas y en %) </w:t>
            </w:r>
          </w:p>
        </w:tc>
        <w:tc>
          <w:tcPr>
            <w:tcW w:w="90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E236F7">
        <w:trPr>
          <w:trHeight w:val="776"/>
        </w:trPr>
        <w:tc>
          <w:tcPr>
            <w:tcW w:w="490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2C47C"/>
          </w:tcPr>
          <w:p w:rsidR="00E236F7" w:rsidRDefault="0026044A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Carga horaria general </w:t>
            </w:r>
          </w:p>
        </w:tc>
        <w:tc>
          <w:tcPr>
            <w:tcW w:w="90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2" w:firstLine="0"/>
            </w:pPr>
            <w:r>
              <w:rPr>
                <w:i/>
                <w:sz w:val="21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1157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</w:tcPr>
          <w:p w:rsidR="00E236F7" w:rsidRDefault="0026044A">
            <w:pPr>
              <w:spacing w:after="0" w:line="259" w:lineRule="auto"/>
              <w:ind w:left="1" w:firstLine="0"/>
            </w:pPr>
            <w:r>
              <w:rPr>
                <w:i/>
                <w:sz w:val="21"/>
              </w:rPr>
              <w:t xml:space="preserve"> </w:t>
            </w:r>
          </w:p>
          <w:p w:rsidR="00E236F7" w:rsidRDefault="0026044A">
            <w:pPr>
              <w:spacing w:after="0" w:line="259" w:lineRule="auto"/>
              <w:ind w:left="104" w:firstLine="0"/>
            </w:pPr>
            <w:r>
              <w:rPr>
                <w:sz w:val="22"/>
              </w:rPr>
              <w:t xml:space="preserve">54 </w:t>
            </w:r>
          </w:p>
        </w:tc>
      </w:tr>
    </w:tbl>
    <w:p w:rsidR="00E236F7" w:rsidRDefault="0026044A">
      <w:pPr>
        <w:spacing w:after="0" w:line="259" w:lineRule="auto"/>
        <w:ind w:left="614" w:firstLine="0"/>
      </w:pPr>
      <w:r>
        <w:rPr>
          <w:i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i/>
        </w:rPr>
        <w:t xml:space="preserve"> </w:t>
      </w:r>
    </w:p>
    <w:p w:rsidR="00E236F7" w:rsidRDefault="0026044A">
      <w:pPr>
        <w:spacing w:after="188" w:line="259" w:lineRule="auto"/>
        <w:ind w:left="614" w:firstLine="0"/>
      </w:pPr>
      <w:r>
        <w:rPr>
          <w:i/>
          <w:sz w:val="18"/>
        </w:rPr>
        <w:t xml:space="preserve"> </w:t>
      </w:r>
    </w:p>
    <w:p w:rsidR="00E236F7" w:rsidRDefault="0026044A">
      <w:pPr>
        <w:numPr>
          <w:ilvl w:val="0"/>
          <w:numId w:val="1"/>
        </w:numPr>
        <w:spacing w:after="51" w:line="259" w:lineRule="auto"/>
        <w:ind w:hanging="725"/>
      </w:pPr>
      <w:r>
        <w:rPr>
          <w:b/>
          <w:sz w:val="22"/>
        </w:rPr>
        <w:lastRenderedPageBreak/>
        <w:t xml:space="preserve">UNIDADES TEMÁTICAS, CONTENIDOS, BIBLIOGRAFÍA POR UNIDAD TEMÁTICA: </w:t>
      </w:r>
      <w:r>
        <w:rPr>
          <w:sz w:val="26"/>
        </w:rPr>
        <w:t xml:space="preserve"> </w:t>
      </w:r>
    </w:p>
    <w:p w:rsidR="00E236F7" w:rsidRDefault="0026044A">
      <w:pPr>
        <w:spacing w:after="107" w:line="259" w:lineRule="auto"/>
        <w:ind w:left="725" w:firstLine="0"/>
      </w:pPr>
      <w:r>
        <w:rPr>
          <w:sz w:val="24"/>
        </w:rPr>
        <w:t xml:space="preserve"> </w:t>
      </w:r>
    </w:p>
    <w:p w:rsidR="00E236F7" w:rsidRDefault="0026044A">
      <w:pPr>
        <w:pStyle w:val="Ttulo1"/>
        <w:tabs>
          <w:tab w:val="center" w:pos="2891"/>
        </w:tabs>
        <w:spacing w:after="39"/>
        <w:ind w:left="-15" w:firstLine="0"/>
      </w:pPr>
      <w:r>
        <w:rPr>
          <w:b w:val="0"/>
          <w:sz w:val="26"/>
        </w:rPr>
        <w:t xml:space="preserve"> </w:t>
      </w:r>
      <w:r>
        <w:rPr>
          <w:b w:val="0"/>
          <w:sz w:val="26"/>
        </w:rPr>
        <w:tab/>
      </w:r>
      <w:r>
        <w:t xml:space="preserve">Unidad I: La Economía argentina en el largo plazo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>Interpretaciones y debates historiográficos. ¿Argentina fue alguna vez una potencia mundial? Ventajas y problemas de los indicadores utilizados para medir la riqueza de las naciones. Producto Bruto Interno y Producto Interno per cápita. Índice de Desarroll</w:t>
      </w:r>
      <w:r>
        <w:t xml:space="preserve">o Humano y el Índice de Gini. </w:t>
      </w:r>
    </w:p>
    <w:p w:rsidR="00E236F7" w:rsidRDefault="0026044A">
      <w:pPr>
        <w:pStyle w:val="Ttulo1"/>
        <w:tabs>
          <w:tab w:val="center" w:pos="1236"/>
        </w:tabs>
        <w:ind w:left="-15" w:firstLine="0"/>
      </w:pPr>
      <w:r>
        <w:t xml:space="preserve"> </w:t>
      </w:r>
      <w:r>
        <w:tab/>
        <w:t>Bibliografía</w:t>
      </w:r>
      <w:r>
        <w:rPr>
          <w:sz w:val="14"/>
        </w:rPr>
        <w:t xml:space="preserve"> </w:t>
      </w:r>
    </w:p>
    <w:p w:rsidR="00E236F7" w:rsidRDefault="0026044A">
      <w:pPr>
        <w:ind w:left="720" w:right="11"/>
      </w:pPr>
      <w:r>
        <w:t xml:space="preserve"> </w:t>
      </w:r>
      <w:r>
        <w:tab/>
        <w:t xml:space="preserve">Instituto Nacional de Estadística y Censos (2025). Evolución de la distribución del ingreso (EPH). Informes técnicos, 9(11). </w:t>
      </w:r>
    </w:p>
    <w:p w:rsidR="00E236F7" w:rsidRDefault="0026044A">
      <w:pPr>
        <w:ind w:left="720" w:right="11"/>
      </w:pPr>
      <w:r>
        <w:t xml:space="preserve"> </w:t>
      </w:r>
      <w:r>
        <w:tab/>
        <w:t>Kulfas, Matias (2016). Los tres kirchnerismos. Una historia de la economía arge</w:t>
      </w:r>
      <w:r>
        <w:t xml:space="preserve">ntina 2003-2015. Siglo XXI. (Cap. 2 El contexto. La historia detrás de esta historia) </w:t>
      </w:r>
    </w:p>
    <w:p w:rsidR="00E236F7" w:rsidRDefault="0026044A">
      <w:pPr>
        <w:ind w:left="720" w:right="11"/>
      </w:pPr>
      <w:r>
        <w:t xml:space="preserve"> </w:t>
      </w:r>
      <w:r>
        <w:tab/>
        <w:t xml:space="preserve">Miguez, Eduardo (2008). "El fracaso argentino". Interpretando la evolución económica en el "corto siglo XX". Desarrollo Económico, 44(176), 483-514. </w:t>
      </w:r>
    </w:p>
    <w:p w:rsidR="00E236F7" w:rsidRDefault="0026044A">
      <w:pPr>
        <w:spacing w:after="100" w:line="259" w:lineRule="auto"/>
        <w:ind w:left="710" w:right="28" w:hanging="725"/>
      </w:pPr>
      <w:r>
        <w:t xml:space="preserve"> </w:t>
      </w:r>
      <w:r>
        <w:tab/>
      </w:r>
      <w:r>
        <w:t>Rougier, Marcelo (2026). Descifrando el “fracaso” económico argentino. Un ensayo</w:t>
      </w:r>
      <w:r>
        <w:t xml:space="preserve"> sobre un debate (f)útil. Anuario del IEHS. </w:t>
      </w:r>
    </w:p>
    <w:p w:rsidR="00E236F7" w:rsidRDefault="0026044A">
      <w:pPr>
        <w:spacing w:after="94"/>
        <w:ind w:left="720" w:right="11"/>
      </w:pPr>
      <w:r>
        <w:t xml:space="preserve"> </w:t>
      </w:r>
      <w:r>
        <w:tab/>
        <w:t>Schteingart, Daniel (2017). Datos contra el sentido común. No somos un país de mierda. Anfibia. https://www.revistaanfibia.com/no</w:t>
      </w:r>
      <w:r>
        <w:t xml:space="preserve">-somos-pais-de-mierda/ </w:t>
      </w:r>
    </w:p>
    <w:p w:rsidR="00E236F7" w:rsidRDefault="0026044A">
      <w:pPr>
        <w:spacing w:after="100" w:line="259" w:lineRule="auto"/>
        <w:ind w:left="0" w:firstLine="0"/>
      </w:pPr>
      <w:r>
        <w:t xml:space="preserve"> </w:t>
      </w:r>
    </w:p>
    <w:p w:rsidR="00E236F7" w:rsidRDefault="0026044A">
      <w:pPr>
        <w:pStyle w:val="Ttulo1"/>
        <w:tabs>
          <w:tab w:val="center" w:pos="3182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Unidad II: Inestabilidad política y económica (1953-1975)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 xml:space="preserve">La economía argentina en el contexto de los treinta años gloriosos. La política económica entre 1953 y 1975. Los ciclos de Stop &amp; Go. </w:t>
      </w:r>
    </w:p>
    <w:p w:rsidR="00E236F7" w:rsidRDefault="0026044A">
      <w:pPr>
        <w:pStyle w:val="Ttulo1"/>
        <w:tabs>
          <w:tab w:val="center" w:pos="1236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Bibliografía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 xml:space="preserve">Instituto Nacional de Estadística y Censos (2025). Balanza de pagos, posición de inversión internacional y deuda externa. Informes técnicos, 9(2). </w:t>
      </w:r>
    </w:p>
    <w:p w:rsidR="00E236F7" w:rsidRDefault="0026044A">
      <w:pPr>
        <w:ind w:left="720" w:right="11"/>
      </w:pPr>
      <w:r>
        <w:t xml:space="preserve"> </w:t>
      </w:r>
      <w:r>
        <w:tab/>
        <w:t xml:space="preserve">Iramain, Lucas, Lacunza, Lucia, y Rougier, Marcelo (2025). Avances de la industrialización en un contexto </w:t>
      </w:r>
      <w:r>
        <w:t xml:space="preserve">de inestabilidad (1953-1975) En Marcelo Rougier (Dir.) y Camilo Mason (Coord.), El desarrollo esquivo. Historia de la economía y la política económica argentina (1860-2020), Errepar. </w:t>
      </w:r>
    </w:p>
    <w:p w:rsidR="00E236F7" w:rsidRDefault="0026044A">
      <w:pPr>
        <w:tabs>
          <w:tab w:val="center" w:pos="5070"/>
        </w:tabs>
        <w:spacing w:after="100" w:line="259" w:lineRule="auto"/>
        <w:ind w:left="-15" w:firstLine="0"/>
      </w:pPr>
      <w:r>
        <w:t xml:space="preserve"> </w:t>
      </w:r>
      <w:r>
        <w:tab/>
      </w:r>
      <w:r>
        <w:t>O’Donnell, Guillermo (1977). Estado y alianzas en la Argentina, 1956</w:t>
      </w:r>
      <w:r>
        <w:t>-1</w:t>
      </w:r>
      <w:r>
        <w:t xml:space="preserve">976. Desarrollo Económico, 16(64). </w:t>
      </w:r>
    </w:p>
    <w:p w:rsidR="00E236F7" w:rsidRDefault="0026044A">
      <w:pPr>
        <w:ind w:left="720" w:right="11"/>
      </w:pPr>
      <w:r>
        <w:t xml:space="preserve"> </w:t>
      </w:r>
      <w:r>
        <w:tab/>
      </w:r>
      <w:r>
        <w:t>Rougier, Marcelo y Odisio, Juan (2019) El “canto de cisne” de la industrialización</w:t>
      </w:r>
      <w:r>
        <w:t xml:space="preserve"> argentina. Desempeño y alternativas en la etapa final de la ISI. Revista de Estudios Sociales, 68,http://journals.openedition.org/reves</w:t>
      </w:r>
      <w:r>
        <w:t xml:space="preserve">tudsoc/31728 </w:t>
      </w:r>
    </w:p>
    <w:p w:rsidR="00E236F7" w:rsidRDefault="0026044A">
      <w:pPr>
        <w:spacing w:after="103" w:line="259" w:lineRule="auto"/>
        <w:ind w:left="0" w:firstLine="0"/>
      </w:pPr>
      <w:r>
        <w:t xml:space="preserve"> </w:t>
      </w:r>
      <w:r>
        <w:tab/>
        <w:t xml:space="preserve"> </w:t>
      </w:r>
    </w:p>
    <w:p w:rsidR="00E236F7" w:rsidRDefault="0026044A">
      <w:pPr>
        <w:pStyle w:val="Ttulo1"/>
        <w:tabs>
          <w:tab w:val="center" w:pos="3787"/>
        </w:tabs>
        <w:ind w:left="-15" w:firstLine="0"/>
      </w:pPr>
      <w:r>
        <w:t xml:space="preserve"> </w:t>
      </w:r>
      <w:r>
        <w:tab/>
        <w:t xml:space="preserve">Unidad III - Apertura, endeudamiento y desindustrialización 1976-2001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>La apertura de la economía argentina luego de la segunda mitad de la década de 1970. La dinámica de endeudamiento externo. ¿Cómo se caracteriza el nuevo ciclo econ</w:t>
      </w:r>
      <w:r>
        <w:t xml:space="preserve">ómico? Las crisis gemelas y las dinámicas devaluatorias: ¿de devaluaciones comerciales a devaluaciones financieras? La política monetaria entre 1975 y 2001. El proceso de desindustrialización. </w:t>
      </w:r>
    </w:p>
    <w:p w:rsidR="00E236F7" w:rsidRDefault="0026044A">
      <w:pPr>
        <w:pStyle w:val="Ttulo1"/>
        <w:tabs>
          <w:tab w:val="center" w:pos="1236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Bibliografía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>Bascur, Omar, Beorlegui, Hernán. y Glodowsky</w:t>
      </w:r>
      <w:r>
        <w:t xml:space="preserve">, Federico (2025). Liberalización, redistribución regresiva y desindustrialización (1976-2001). En Marcelo Rougier (Dir.) y Camilo Mason (Coord.), El desarrollo esquivo. Historia de la economía y la política económica argentina (1860-2020), Errepar. </w:t>
      </w:r>
    </w:p>
    <w:p w:rsidR="00E236F7" w:rsidRDefault="0026044A">
      <w:pPr>
        <w:ind w:left="720" w:right="11"/>
      </w:pPr>
      <w:r>
        <w:t xml:space="preserve"> </w:t>
      </w:r>
      <w:r>
        <w:tab/>
        <w:t>Ber</w:t>
      </w:r>
      <w:r>
        <w:t xml:space="preserve">tuccio, Esteban, Telechea, Juan Manuel y Wahren, Pablo (2012). Crisis de divisas y devaluación en Argentina: una perspectiva histórica. Nota técnica. 64, Ministerio de Economía. </w:t>
      </w:r>
    </w:p>
    <w:p w:rsidR="00E236F7" w:rsidRDefault="0026044A">
      <w:pPr>
        <w:ind w:left="720" w:right="11"/>
      </w:pPr>
      <w:r>
        <w:t xml:space="preserve"> </w:t>
      </w:r>
      <w:r>
        <w:tab/>
        <w:t>Damill, Mario, Frenkel, Roberto y Rapetti, Martín (2005). La Deuda Argentin</w:t>
      </w:r>
      <w:r>
        <w:t>a: Historia, Default y Reestructuración. Desarrollo Económico 45, no. 178 (2005): 187</w:t>
      </w:r>
      <w:r>
        <w:t>–</w:t>
      </w:r>
      <w:r>
        <w:t xml:space="preserve">233. https://doi.org/10.2307/3655857. </w:t>
      </w:r>
    </w:p>
    <w:p w:rsidR="00E236F7" w:rsidRDefault="0026044A">
      <w:pPr>
        <w:ind w:left="720" w:right="11"/>
      </w:pPr>
      <w:r>
        <w:t xml:space="preserve"> </w:t>
      </w:r>
      <w:r>
        <w:tab/>
        <w:t>Herrera Bartis, German (2018). ¿De qué hablamos cuando hablamos de desindustrialización? Un breve recorrido por el debate teórico</w:t>
      </w:r>
      <w:r>
        <w:t xml:space="preserve"> y una reflexión desde el caso argentino. Divulgativo, 7. </w:t>
      </w:r>
    </w:p>
    <w:p w:rsidR="00E236F7" w:rsidRDefault="0026044A">
      <w:pPr>
        <w:spacing w:after="94"/>
        <w:ind w:left="720" w:right="11"/>
      </w:pPr>
      <w:r>
        <w:t xml:space="preserve"> </w:t>
      </w:r>
      <w:r>
        <w:tab/>
        <w:t xml:space="preserve">Schvarzer, Jorge y Tavonanska, Andrés (2008). Modelos macroeconómicos en Argentina. Del stop and go al go and crush. Documento de Trabajo, 15, CESPA-FCE. </w:t>
      </w:r>
    </w:p>
    <w:p w:rsidR="00E236F7" w:rsidRDefault="0026044A">
      <w:pPr>
        <w:spacing w:after="100" w:line="259" w:lineRule="auto"/>
        <w:ind w:left="0" w:firstLine="0"/>
      </w:pPr>
      <w:r>
        <w:t xml:space="preserve"> </w:t>
      </w:r>
    </w:p>
    <w:p w:rsidR="00E236F7" w:rsidRDefault="0026044A">
      <w:pPr>
        <w:pStyle w:val="Ttulo1"/>
        <w:tabs>
          <w:tab w:val="center" w:pos="3946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Unidad IV - </w:t>
      </w:r>
      <w:r>
        <w:t xml:space="preserve">Nuevos y viejos problemas de la economía argentina 2002-2024 </w:t>
      </w:r>
    </w:p>
    <w:p w:rsidR="00E236F7" w:rsidRDefault="0026044A">
      <w:pPr>
        <w:ind w:left="720" w:right="11"/>
      </w:pPr>
      <w:r>
        <w:rPr>
          <w:b/>
        </w:rPr>
        <w:t xml:space="preserve"> </w:t>
      </w:r>
      <w:r>
        <w:rPr>
          <w:b/>
        </w:rPr>
        <w:tab/>
      </w:r>
      <w:r>
        <w:t>La economía global en el siglo XXI. Rápida recuperación y agotamiento del proyecto de crecimiento. Un nuevo Stop &amp; Go o un ciclo económico electoral. El estado como problema y como solución. L</w:t>
      </w:r>
      <w:r>
        <w:t xml:space="preserve">a evolución del endeudamiento externo. La inflación en el siglo XXI. La industria: recuperación y límites. </w:t>
      </w:r>
    </w:p>
    <w:p w:rsidR="00E236F7" w:rsidRDefault="0026044A">
      <w:pPr>
        <w:pStyle w:val="Ttulo1"/>
        <w:tabs>
          <w:tab w:val="center" w:pos="1236"/>
        </w:tabs>
        <w:ind w:left="-15" w:firstLine="0"/>
      </w:pPr>
      <w:r>
        <w:t xml:space="preserve"> </w:t>
      </w:r>
      <w:r>
        <w:tab/>
        <w:t xml:space="preserve">Bibliografía </w:t>
      </w:r>
    </w:p>
    <w:p w:rsidR="00E236F7" w:rsidRDefault="0026044A">
      <w:pPr>
        <w:tabs>
          <w:tab w:val="right" w:pos="10377"/>
        </w:tabs>
        <w:spacing w:after="21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Gerchunoff, Pablo., Rapetti, Martín, y de León, Gonzalo (2020). La paradoja populista. Desarrollo Económico. Revista </w:t>
      </w:r>
    </w:p>
    <w:p w:rsidR="00E236F7" w:rsidRDefault="0026044A">
      <w:pPr>
        <w:ind w:left="725" w:right="11" w:firstLine="0"/>
      </w:pPr>
      <w:r>
        <w:t xml:space="preserve">De Ciencias </w:t>
      </w:r>
      <w:r>
        <w:t>Sociales, 59(229), 299</w:t>
      </w:r>
      <w:r>
        <w:t>–</w:t>
      </w:r>
      <w:r>
        <w:t xml:space="preserve">328. https://revistas.ides.org.ar/desarrollo-economico/article/view/10 </w:t>
      </w:r>
    </w:p>
    <w:p w:rsidR="00E236F7" w:rsidRDefault="0026044A">
      <w:pPr>
        <w:ind w:left="720" w:right="11"/>
      </w:pPr>
      <w:r>
        <w:t xml:space="preserve"> </w:t>
      </w:r>
      <w:r>
        <w:tab/>
        <w:t>Raccanello, Mario y Ghibaudo Federico (2025). Ascenso y ocaso en el siglo XXI: viejos problemas y nuevos desafíos (2002-2020) En Marcelo Rougier (Dir.) y Camil</w:t>
      </w:r>
      <w:r>
        <w:t xml:space="preserve">o Mason (Coord.), El desarrollo esquivo. Historia de la economía y la política económica argentina (1860-2020), Errepar. </w:t>
      </w:r>
    </w:p>
    <w:p w:rsidR="00E236F7" w:rsidRDefault="0026044A">
      <w:pPr>
        <w:spacing w:after="181"/>
        <w:ind w:left="720" w:right="11"/>
      </w:pPr>
      <w:r>
        <w:t xml:space="preserve"> </w:t>
      </w:r>
      <w:r>
        <w:tab/>
        <w:t>Zack, Guido, Montané, Martín, y Kulfas, Matias (2017). Una aproximación a las causas del proceso inflacionario argentino reciente. S</w:t>
      </w:r>
      <w:r>
        <w:t>erie de Documentos de Trabajo CIMaD 1, EEyN - UNSAM.</w:t>
      </w:r>
      <w:r>
        <w:rPr>
          <w:b/>
        </w:rPr>
        <w:t xml:space="preserve"> </w:t>
      </w:r>
    </w:p>
    <w:p w:rsidR="00E236F7" w:rsidRDefault="0026044A">
      <w:pPr>
        <w:spacing w:after="0" w:line="236" w:lineRule="auto"/>
        <w:ind w:left="713" w:hanging="5"/>
      </w:pPr>
      <w:r>
        <w:rPr>
          <w:b/>
          <w:i/>
          <w:sz w:val="22"/>
        </w:rPr>
        <w:t xml:space="preserve">Todos los materiales propuestos estarán disponibles en plataformas de acceso a contenido que dispone la universidad - Biblioteca de USAL (RedBus) - o, si son textos de acceso libre, estarán compartidos </w:t>
      </w:r>
      <w:r>
        <w:rPr>
          <w:b/>
          <w:i/>
          <w:sz w:val="22"/>
        </w:rPr>
        <w:t xml:space="preserve">desde el EVEA (entorno virtual/campus) . </w:t>
      </w:r>
    </w:p>
    <w:p w:rsidR="00E236F7" w:rsidRDefault="0026044A">
      <w:pPr>
        <w:spacing w:after="0" w:line="259" w:lineRule="auto"/>
        <w:ind w:left="614" w:firstLine="0"/>
      </w:pPr>
      <w:r>
        <w:rPr>
          <w:b/>
          <w:i/>
          <w:sz w:val="24"/>
        </w:rPr>
        <w:t xml:space="preserve"> </w:t>
      </w:r>
    </w:p>
    <w:p w:rsidR="00E236F7" w:rsidRDefault="0026044A">
      <w:pPr>
        <w:spacing w:after="41" w:line="259" w:lineRule="auto"/>
        <w:ind w:left="614" w:firstLine="0"/>
      </w:pPr>
      <w:r>
        <w:rPr>
          <w:b/>
          <w:i/>
        </w:rPr>
        <w:t xml:space="preserve"> </w:t>
      </w:r>
    </w:p>
    <w:p w:rsidR="00E236F7" w:rsidRDefault="0026044A">
      <w:pPr>
        <w:tabs>
          <w:tab w:val="center" w:pos="812"/>
          <w:tab w:val="center" w:pos="2347"/>
        </w:tabs>
        <w:spacing w:after="15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49442A"/>
          <w:sz w:val="24"/>
        </w:rPr>
        <w:t>8.</w:t>
      </w:r>
      <w:r>
        <w:rPr>
          <w:rFonts w:ascii="Arial" w:eastAsia="Arial" w:hAnsi="Arial" w:cs="Arial"/>
          <w:b/>
          <w:color w:val="49442A"/>
          <w:sz w:val="24"/>
        </w:rPr>
        <w:t xml:space="preserve"> </w:t>
      </w:r>
      <w:r>
        <w:rPr>
          <w:rFonts w:ascii="Arial" w:eastAsia="Arial" w:hAnsi="Arial" w:cs="Arial"/>
          <w:b/>
          <w:color w:val="49442A"/>
          <w:sz w:val="24"/>
        </w:rPr>
        <w:tab/>
      </w:r>
      <w:r>
        <w:rPr>
          <w:b/>
          <w:sz w:val="22"/>
        </w:rPr>
        <w:t>METODOLOGÍA</w:t>
      </w:r>
      <w:r>
        <w:rPr>
          <w:sz w:val="22"/>
        </w:rPr>
        <w:t>:</w:t>
      </w:r>
      <w:r>
        <w:rPr>
          <w:color w:val="49442A"/>
          <w:sz w:val="24"/>
        </w:rPr>
        <w:t xml:space="preserve"> </w:t>
      </w:r>
    </w:p>
    <w:p w:rsidR="00E236F7" w:rsidRDefault="0026044A">
      <w:pPr>
        <w:spacing w:after="0" w:line="241" w:lineRule="auto"/>
        <w:ind w:left="723" w:right="2" w:hanging="10"/>
        <w:jc w:val="both"/>
      </w:pPr>
      <w:r>
        <w:t>Se adoptará para el curso una metodología de teórica practica , lo que supondrá la combinación de desarrollos teóricos con actividades prácticas de análisis conceptual y estudios de casos, temas o problemas, a los efectos de presentar los desarrollos gener</w:t>
      </w:r>
      <w:r>
        <w:t xml:space="preserve">ales de los distintos temas. </w:t>
      </w:r>
    </w:p>
    <w:p w:rsidR="00E236F7" w:rsidRDefault="0026044A">
      <w:pPr>
        <w:spacing w:after="0" w:line="241" w:lineRule="auto"/>
        <w:ind w:left="723" w:right="2" w:hanging="10"/>
        <w:jc w:val="both"/>
      </w:pPr>
      <w:r>
        <w:t>Previo a cada encuentro -en caso de ser parte de las secuencias didácticas previstas- los estudiantes encontrarán en el aula virtual el material bibliográfico digital o el material didáctico disponible, el docente favorece los</w:t>
      </w:r>
      <w:r>
        <w:t xml:space="preserve"> espacios de profundización teórica para abordar la bibliografía. </w:t>
      </w:r>
      <w:r>
        <w:rPr>
          <w:color w:val="49442A"/>
        </w:rPr>
        <w:t>Actividades evaluativas presenciales y trabajos prácticos sincrónicos.</w:t>
      </w:r>
      <w: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sz w:val="22"/>
        </w:rPr>
        <w:t xml:space="preserve"> </w:t>
      </w:r>
    </w:p>
    <w:p w:rsidR="00E236F7" w:rsidRDefault="0026044A">
      <w:pPr>
        <w:spacing w:after="0" w:line="259" w:lineRule="auto"/>
        <w:ind w:left="614" w:firstLine="0"/>
      </w:pPr>
      <w:r>
        <w:rPr>
          <w:sz w:val="21"/>
        </w:rPr>
        <w:t xml:space="preserve"> </w:t>
      </w:r>
    </w:p>
    <w:p w:rsidR="00E236F7" w:rsidRDefault="0026044A">
      <w:pPr>
        <w:spacing w:after="3" w:line="259" w:lineRule="auto"/>
        <w:ind w:left="718" w:hanging="10"/>
      </w:pPr>
      <w:r>
        <w:rPr>
          <w:b/>
          <w:sz w:val="22"/>
        </w:rPr>
        <w:t>13.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BIBLIOGRAFÍA COMPLEMENTARIA: </w:t>
      </w:r>
    </w:p>
    <w:p w:rsidR="00E236F7" w:rsidRDefault="0026044A">
      <w:pPr>
        <w:spacing w:after="0" w:line="259" w:lineRule="auto"/>
        <w:ind w:left="614" w:firstLine="0"/>
      </w:pPr>
      <w:r>
        <w:rPr>
          <w:b/>
          <w:sz w:val="21"/>
        </w:rPr>
        <w:t xml:space="preserve"> </w:t>
      </w:r>
    </w:p>
    <w:p w:rsidR="00E236F7" w:rsidRDefault="0026044A">
      <w:pPr>
        <w:spacing w:after="7"/>
        <w:ind w:left="756" w:right="11" w:firstLine="0"/>
      </w:pPr>
      <w:r>
        <w:t>Gerchunoff, Pablo y Llach, Lucas (2004) Ilusión y desencanto de cuatro generac</w:t>
      </w:r>
      <w:r>
        <w:t xml:space="preserve">iones argentinas, en Pablo Gerchunoff y Lucas Llach, El ciclo de la ilusión y el desencanto, Emecé. </w:t>
      </w:r>
    </w:p>
    <w:p w:rsidR="00E236F7" w:rsidRDefault="0026044A">
      <w:pPr>
        <w:spacing w:after="21"/>
        <w:ind w:left="756" w:right="11" w:firstLine="0"/>
      </w:pPr>
      <w:r>
        <w:t xml:space="preserve">Miguez, Eduardo (2008). "El fracaso argentino". Interpretando la evolución económica en el "corto siglo XX". </w:t>
      </w:r>
    </w:p>
    <w:p w:rsidR="00E236F7" w:rsidRDefault="0026044A">
      <w:pPr>
        <w:spacing w:after="21"/>
        <w:ind w:left="756" w:right="11" w:firstLine="0"/>
      </w:pPr>
      <w:r>
        <w:t xml:space="preserve">Desarrollo Económico, 44(176), 483-514. </w:t>
      </w:r>
    </w:p>
    <w:p w:rsidR="00E236F7" w:rsidRDefault="0026044A">
      <w:pPr>
        <w:spacing w:after="5"/>
        <w:ind w:left="756" w:right="11" w:firstLine="0"/>
      </w:pPr>
      <w:r>
        <w:t>Gerc</w:t>
      </w:r>
      <w:r>
        <w:t xml:space="preserve">hunoff, Pablo, Rapetti Martín y de León, Gonzalo (2020). La paradoja populista. Desarrollo Económico, 59(229), 299-328. </w:t>
      </w:r>
    </w:p>
    <w:p w:rsidR="00E236F7" w:rsidRDefault="0026044A">
      <w:pPr>
        <w:spacing w:after="21"/>
        <w:ind w:left="756" w:right="11" w:firstLine="0"/>
      </w:pPr>
      <w:r>
        <w:t xml:space="preserve">Mazzucato, Mariana (2014). El Estado detrás del IPhone. En Mariana Mazzucato, El Estado Emprendedor. </w:t>
      </w:r>
    </w:p>
    <w:p w:rsidR="00E236F7" w:rsidRDefault="0026044A">
      <w:pPr>
        <w:spacing w:after="26"/>
        <w:ind w:left="756" w:right="11" w:firstLine="0"/>
      </w:pPr>
      <w:r>
        <w:t xml:space="preserve">Mitos del sector público frente al privado, RBA. </w:t>
      </w:r>
    </w:p>
    <w:p w:rsidR="00E236F7" w:rsidRDefault="0026044A">
      <w:pPr>
        <w:spacing w:after="100" w:line="259" w:lineRule="auto"/>
        <w:ind w:left="766" w:right="28" w:hanging="10"/>
      </w:pPr>
      <w:r>
        <w:t>Rougier, Marcelo, Odisio, Juan, Raccanello, Mario, Sember, Florencia. (2016). Los desafíos del “Estado</w:t>
      </w:r>
      <w:r>
        <w:t xml:space="preserve"> </w:t>
      </w:r>
    </w:p>
    <w:p w:rsidR="00E236F7" w:rsidRDefault="0026044A">
      <w:pPr>
        <w:spacing w:after="7"/>
        <w:ind w:left="756" w:right="1269" w:firstLine="0"/>
      </w:pPr>
      <w:r>
        <w:t>emprendedor” El Polo Industrial</w:t>
      </w:r>
      <w:r>
        <w:t xml:space="preserve">-Tecnológico para la Defensa. Documento de Trabajo 4, AESIALFCE. </w:t>
      </w:r>
    </w:p>
    <w:p w:rsidR="00E236F7" w:rsidRDefault="0026044A">
      <w:pPr>
        <w:spacing w:after="4"/>
        <w:ind w:left="756" w:right="11" w:firstLine="0"/>
      </w:pPr>
      <w:r>
        <w:t>Schva</w:t>
      </w:r>
      <w:r>
        <w:t xml:space="preserve">rzer, Jorge y Tavonanska, Andrés (2008). Modelos macroeconómicos en Argentina. Del stop and go al go and crush. Documento de Trabajo 15, CESPA-FCE. </w:t>
      </w:r>
    </w:p>
    <w:p w:rsidR="00E236F7" w:rsidRDefault="0026044A">
      <w:pPr>
        <w:spacing w:after="4"/>
        <w:ind w:left="756" w:right="11" w:firstLine="0"/>
      </w:pPr>
      <w:r>
        <w:t xml:space="preserve">Williamson, John (1998). Revisión del Consenso de Washington. El Desarrollo Económico y Social en los umbrales del Siglo XXI, Banco Interamericano de Desarrollo </w:t>
      </w:r>
    </w:p>
    <w:p w:rsidR="00E236F7" w:rsidRDefault="0026044A">
      <w:pPr>
        <w:spacing w:after="0" w:line="241" w:lineRule="auto"/>
        <w:ind w:left="723" w:right="229" w:hanging="10"/>
        <w:jc w:val="both"/>
      </w:pPr>
      <w:r>
        <w:t>Abeles, Martín y Mariano Borzel (2004). Metas de Inflación: Implicancias para el Desarrollo. C</w:t>
      </w:r>
      <w:r>
        <w:t xml:space="preserve">entro de Economía y Finanzas para el Desarrollo de la Argentina, 1, 4-8 y 30-34Bulmer Thomas, Victor, </w:t>
      </w:r>
      <w:r>
        <w:t>“La</w:t>
      </w:r>
      <w:r>
        <w:t xml:space="preserve"> deuda, el ajuste y el cambio de </w:t>
      </w:r>
      <w:r>
        <w:t>paradigma”. Historia económica de</w:t>
      </w:r>
      <w:r>
        <w:t xml:space="preserve"> América Latina desde la Independencia. FCE. </w:t>
      </w:r>
    </w:p>
    <w:p w:rsidR="00E236F7" w:rsidRDefault="0026044A">
      <w:pPr>
        <w:spacing w:after="21"/>
        <w:ind w:left="756" w:right="11" w:firstLine="0"/>
      </w:pPr>
      <w:r>
        <w:t>Marichal, Carlos (2010). Nueva historia</w:t>
      </w:r>
      <w:r>
        <w:t xml:space="preserve"> de las grandes crisis financieras. Una perspectiva global, 18732008, Debate, </w:t>
      </w:r>
    </w:p>
    <w:p w:rsidR="00E236F7" w:rsidRDefault="0026044A">
      <w:pPr>
        <w:spacing w:after="21"/>
        <w:ind w:left="756" w:right="11" w:firstLine="0"/>
      </w:pPr>
      <w:r>
        <w:t xml:space="preserve">Mario Rapoport (2010). Una revisión histórica de la inflación argentina y de sus causas. Aportes de </w:t>
      </w:r>
    </w:p>
    <w:p w:rsidR="00E236F7" w:rsidRDefault="0026044A">
      <w:pPr>
        <w:spacing w:after="21"/>
        <w:ind w:left="756" w:right="11" w:firstLine="0"/>
      </w:pPr>
      <w:r>
        <w:t xml:space="preserve">Economía Política en el Bicentenario, pp. 1-20 </w:t>
      </w:r>
    </w:p>
    <w:p w:rsidR="00E236F7" w:rsidRDefault="0026044A">
      <w:pPr>
        <w:spacing w:after="25"/>
        <w:ind w:left="756" w:right="276" w:firstLine="0"/>
      </w:pPr>
      <w:r>
        <w:t>Herrera Bartis, German (2018</w:t>
      </w:r>
      <w:r>
        <w:t xml:space="preserve">). ¿De qué hablamos cuando hablamos de desindustrialización? Un breve recorrido por el debate teórico y una reflexión desde el caso argentino. Divulgativo, 7. </w:t>
      </w:r>
    </w:p>
    <w:p w:rsidR="00E236F7" w:rsidRDefault="0026044A">
      <w:pPr>
        <w:spacing w:after="21"/>
        <w:ind w:left="756" w:right="11" w:firstLine="0"/>
      </w:pPr>
      <w:r>
        <w:t>Kosacoff, Bernardo (2002). La Industria Argentina: Un Proceso de Reestructuración Desarticulado,</w:t>
      </w:r>
      <w:r>
        <w:t xml:space="preserve"> CEPAL. </w:t>
      </w:r>
    </w:p>
    <w:p w:rsidR="00E236F7" w:rsidRDefault="0026044A">
      <w:pPr>
        <w:spacing w:after="4"/>
        <w:ind w:left="756" w:right="233" w:firstLine="0"/>
      </w:pPr>
      <w:r>
        <w:t>Schteingart, Daniel y Andrés Tavosnanska (2021). Del retorno de la desindustrialización al coronavirus (20162020). En Marcelo Rougier (Coord.), La industria argentina en su tercer siglo: una historia multidisciplinar (1810-2020), Ministerio de Des</w:t>
      </w:r>
      <w:r>
        <w:t xml:space="preserve">arrollo Productivo. </w:t>
      </w:r>
    </w:p>
    <w:p w:rsidR="00E236F7" w:rsidRDefault="0026044A">
      <w:pPr>
        <w:spacing w:after="40"/>
        <w:ind w:left="756" w:right="614" w:firstLine="0"/>
      </w:pPr>
      <w:r>
        <w:t xml:space="preserve">Botto, Mercedes, Delich, Valentina y Tussie, Diana (2003). El nuevo escenario político regional y su impacto en la integración. El caso del MERCOSUR. Nueva Sociedad, 186, 114-127. </w:t>
      </w:r>
    </w:p>
    <w:p w:rsidR="00E236F7" w:rsidRDefault="0026044A">
      <w:pPr>
        <w:spacing w:after="0" w:line="259" w:lineRule="auto"/>
        <w:ind w:left="614" w:firstLine="0"/>
      </w:pPr>
      <w:r>
        <w:rPr>
          <w:sz w:val="24"/>
        </w:rPr>
        <w:t xml:space="preserve"> </w:t>
      </w:r>
    </w:p>
    <w:p w:rsidR="00E236F7" w:rsidRDefault="0026044A">
      <w:pPr>
        <w:spacing w:after="9" w:line="259" w:lineRule="auto"/>
        <w:ind w:left="614" w:firstLine="0"/>
      </w:pPr>
      <w:r>
        <w:t xml:space="preserve"> </w:t>
      </w:r>
    </w:p>
    <w:p w:rsidR="00E236F7" w:rsidRDefault="0026044A">
      <w:pPr>
        <w:numPr>
          <w:ilvl w:val="0"/>
          <w:numId w:val="2"/>
        </w:numPr>
        <w:spacing w:after="3" w:line="259" w:lineRule="auto"/>
        <w:ind w:left="1042" w:hanging="334"/>
      </w:pPr>
      <w:r>
        <w:rPr>
          <w:b/>
          <w:sz w:val="22"/>
        </w:rPr>
        <w:t xml:space="preserve">FIRMA DE DOCENTES: </w:t>
      </w:r>
    </w:p>
    <w:p w:rsidR="00E236F7" w:rsidRDefault="0026044A">
      <w:pPr>
        <w:spacing w:after="0" w:line="259" w:lineRule="auto"/>
        <w:ind w:left="7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70051" cy="524866"/>
                <wp:effectExtent l="0" t="0" r="0" b="0"/>
                <wp:docPr id="8137" name="Group 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051" cy="524866"/>
                          <a:chOff x="0" y="0"/>
                          <a:chExt cx="1070051" cy="524866"/>
                        </a:xfrm>
                      </wpg:grpSpPr>
                      <pic:pic xmlns:pic="http://schemas.openxmlformats.org/drawingml/2006/picture">
                        <pic:nvPicPr>
                          <pic:cNvPr id="1039" name="Picture 10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366" y="0"/>
                            <a:ext cx="1035685" cy="509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2" name="Rectangle 1042"/>
                        <wps:cNvSpPr/>
                        <wps:spPr>
                          <a:xfrm>
                            <a:off x="0" y="397323"/>
                            <a:ext cx="110002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Camilo Mason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825957" y="39732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6F7" w:rsidRDefault="0026044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7" style="width:84.256pt;height:41.3281pt;mso-position-horizontal-relative:char;mso-position-vertical-relative:line" coordsize="10700,5248">
                <v:shape id="Picture 1039" style="position:absolute;width:10356;height:5099;left:343;top:0;" filled="f">
                  <v:imagedata r:id="rId10"/>
                </v:shape>
                <v:rect id="Rectangle 1042" style="position:absolute;width:11000;height:1696;left:0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Camilo Mason</w:t>
                        </w:r>
                      </w:p>
                    </w:txbxContent>
                  </v:textbox>
                </v:rect>
                <v:rect id="Rectangle 1043" style="position:absolute;width:466;height:1696;left:8259;top: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236F7" w:rsidRDefault="0026044A">
      <w:pPr>
        <w:spacing w:after="100" w:line="259" w:lineRule="auto"/>
        <w:ind w:left="614" w:right="7967" w:firstLine="0"/>
      </w:pPr>
      <w:r>
        <w:rPr>
          <w:b/>
        </w:rPr>
        <w:t xml:space="preserve"> </w:t>
      </w:r>
    </w:p>
    <w:p w:rsidR="00E236F7" w:rsidRDefault="0026044A">
      <w:pPr>
        <w:numPr>
          <w:ilvl w:val="0"/>
          <w:numId w:val="2"/>
        </w:numPr>
        <w:spacing w:after="3" w:line="259" w:lineRule="auto"/>
        <w:ind w:left="1042" w:hanging="334"/>
      </w:pPr>
      <w:r>
        <w:rPr>
          <w:b/>
          <w:sz w:val="22"/>
        </w:rPr>
        <w:t xml:space="preserve">FIRMA DEL DIRECTOR DE LA CARRERA </w:t>
      </w:r>
    </w:p>
    <w:sectPr w:rsidR="00E236F7">
      <w:footerReference w:type="even" r:id="rId11"/>
      <w:footerReference w:type="default" r:id="rId12"/>
      <w:footerReference w:type="first" r:id="rId13"/>
      <w:pgSz w:w="11911" w:h="16841"/>
      <w:pgMar w:top="1326" w:right="1129" w:bottom="1037" w:left="406" w:header="72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044A">
      <w:pPr>
        <w:spacing w:after="0" w:line="240" w:lineRule="auto"/>
      </w:pPr>
      <w:r>
        <w:separator/>
      </w:r>
    </w:p>
  </w:endnote>
  <w:endnote w:type="continuationSeparator" w:id="0">
    <w:p w:rsidR="00000000" w:rsidRDefault="002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F7" w:rsidRDefault="0026044A">
    <w:pPr>
      <w:tabs>
        <w:tab w:val="center" w:pos="614"/>
        <w:tab w:val="right" w:pos="10377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F7" w:rsidRDefault="0026044A">
    <w:pPr>
      <w:tabs>
        <w:tab w:val="center" w:pos="614"/>
        <w:tab w:val="right" w:pos="10377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26044A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F7" w:rsidRDefault="0026044A">
    <w:pPr>
      <w:tabs>
        <w:tab w:val="center" w:pos="614"/>
        <w:tab w:val="right" w:pos="10377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044A">
      <w:pPr>
        <w:spacing w:after="0" w:line="240" w:lineRule="auto"/>
      </w:pPr>
      <w:r>
        <w:separator/>
      </w:r>
    </w:p>
  </w:footnote>
  <w:footnote w:type="continuationSeparator" w:id="0">
    <w:p w:rsidR="00000000" w:rsidRDefault="002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57C6"/>
    <w:multiLevelType w:val="hybridMultilevel"/>
    <w:tmpl w:val="2CFE7CB4"/>
    <w:lvl w:ilvl="0" w:tplc="7688DF44">
      <w:start w:val="1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6C848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0BAC4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E337E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CA6DC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CF856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40826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C391A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8248C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5232D"/>
    <w:multiLevelType w:val="hybridMultilevel"/>
    <w:tmpl w:val="3DEE4204"/>
    <w:lvl w:ilvl="0" w:tplc="E4E274A8">
      <w:start w:val="14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4F6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0FF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E7E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EEC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AC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C4B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C7A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F6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F7"/>
    <w:rsid w:val="0026044A"/>
    <w:rsid w:val="007F20BD"/>
    <w:rsid w:val="00E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6F04"/>
  <w15:docId w15:val="{50947E4B-43CC-443C-9FCF-EB64F5C6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1" w:line="234" w:lineRule="auto"/>
      <w:ind w:left="735" w:hanging="735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F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2026-04-01T21:36:00Z</dcterms:created>
  <dcterms:modified xsi:type="dcterms:W3CDTF">2026-04-01T21:36:00Z</dcterms:modified>
</cp:coreProperties>
</file>