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BCF" w:rsidRDefault="00EC1240" w:rsidP="00EC124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</w:t>
      </w:r>
      <w:bookmarkStart w:id="0" w:name="_GoBack"/>
      <w:bookmarkEnd w:id="0"/>
      <w:r w:rsidR="000B436E">
        <w:rPr>
          <w:noProof/>
          <w:sz w:val="22"/>
          <w:szCs w:val="22"/>
          <w:lang w:val="es-AR"/>
        </w:rPr>
        <w:drawing>
          <wp:inline distT="0" distB="0" distL="114300" distR="114300">
            <wp:extent cx="562610" cy="71247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107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440"/>
        <w:gridCol w:w="5340"/>
      </w:tblGrid>
      <w:tr w:rsidR="00836BCF">
        <w:trPr>
          <w:trHeight w:val="1696"/>
        </w:trPr>
        <w:tc>
          <w:tcPr>
            <w:tcW w:w="5440" w:type="dxa"/>
          </w:tcPr>
          <w:p w:rsidR="00836BCF" w:rsidRDefault="00836BCF">
            <w:pPr>
              <w:ind w:hanging="2"/>
              <w:jc w:val="center"/>
              <w:rPr>
                <w:sz w:val="22"/>
                <w:szCs w:val="22"/>
              </w:rPr>
            </w:pPr>
          </w:p>
          <w:p w:rsidR="00836BCF" w:rsidRDefault="000B436E">
            <w:pPr>
              <w:tabs>
                <w:tab w:val="left" w:pos="888"/>
              </w:tabs>
              <w:ind w:left="-2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:rsidR="00836BCF" w:rsidRDefault="00836BCF">
            <w:pPr>
              <w:ind w:hanging="2"/>
              <w:jc w:val="center"/>
              <w:rPr>
                <w:sz w:val="22"/>
                <w:szCs w:val="22"/>
              </w:rPr>
            </w:pPr>
          </w:p>
          <w:p w:rsidR="00836BCF" w:rsidRDefault="000B436E">
            <w:pPr>
              <w:ind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Facultad de Ciencias Sociales, Educación </w:t>
            </w:r>
          </w:p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y Comunicación </w:t>
            </w:r>
          </w:p>
        </w:tc>
        <w:tc>
          <w:tcPr>
            <w:tcW w:w="5340" w:type="dxa"/>
          </w:tcPr>
          <w:p w:rsidR="00836BCF" w:rsidRDefault="00836BCF">
            <w:pPr>
              <w:ind w:hanging="2"/>
              <w:jc w:val="center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jc w:val="center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rPr>
                <w:sz w:val="22"/>
                <w:szCs w:val="22"/>
              </w:rPr>
            </w:pPr>
          </w:p>
          <w:p w:rsidR="00836BCF" w:rsidRDefault="00836BCF">
            <w:pPr>
              <w:ind w:hanging="2"/>
              <w:rPr>
                <w:sz w:val="22"/>
                <w:szCs w:val="22"/>
              </w:rPr>
            </w:pPr>
          </w:p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Licenciatura en Relaciones Públicas</w:t>
            </w:r>
          </w:p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</w:t>
            </w:r>
          </w:p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Carrera de Grado</w:t>
            </w:r>
          </w:p>
        </w:tc>
      </w:tr>
    </w:tbl>
    <w:p w:rsidR="00836BCF" w:rsidRDefault="00836BCF">
      <w:pPr>
        <w:ind w:hanging="2"/>
        <w:rPr>
          <w:sz w:val="22"/>
          <w:szCs w:val="22"/>
        </w:rPr>
      </w:pPr>
    </w:p>
    <w:p w:rsidR="00836BCF" w:rsidRDefault="000B436E">
      <w:pPr>
        <w:keepNext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PROGRAMA 202</w:t>
      </w:r>
      <w:r w:rsidR="00FC2D01">
        <w:rPr>
          <w:b/>
          <w:sz w:val="22"/>
          <w:szCs w:val="22"/>
        </w:rPr>
        <w:t>6</w:t>
      </w:r>
    </w:p>
    <w:p w:rsidR="00836BCF" w:rsidRDefault="00836BCF">
      <w:pPr>
        <w:keepNext/>
        <w:ind w:hanging="2"/>
        <w:jc w:val="center"/>
        <w:rPr>
          <w:sz w:val="22"/>
          <w:szCs w:val="22"/>
        </w:rPr>
      </w:pPr>
    </w:p>
    <w:p w:rsidR="00836BCF" w:rsidRDefault="00836BCF"/>
    <w:p w:rsidR="00836BCF" w:rsidRDefault="00836BCF">
      <w:pPr>
        <w:rPr>
          <w:sz w:val="22"/>
          <w:szCs w:val="22"/>
        </w:rPr>
      </w:pPr>
    </w:p>
    <w:p w:rsidR="00836BCF" w:rsidRDefault="00836BCF">
      <w:pPr>
        <w:rPr>
          <w:sz w:val="22"/>
          <w:szCs w:val="22"/>
        </w:rPr>
      </w:pPr>
    </w:p>
    <w:p w:rsidR="00836BCF" w:rsidRDefault="00836BCF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tbl>
      <w:tblPr>
        <w:tblStyle w:val="a0"/>
        <w:tblW w:w="978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836BCF">
        <w:trPr>
          <w:trHeight w:val="460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836BCF" w:rsidRDefault="000B436E">
            <w:pPr>
              <w:ind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GESTIÓN DE PROYECTOS PROFESIONALES</w:t>
            </w:r>
          </w:p>
        </w:tc>
      </w:tr>
      <w:tr w:rsidR="00836BCF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Lic. </w:t>
            </w:r>
            <w:r w:rsidR="00FC2D01">
              <w:rPr>
                <w:sz w:val="22"/>
                <w:szCs w:val="22"/>
              </w:rPr>
              <w:t>Esteban Guidi</w:t>
            </w:r>
          </w:p>
        </w:tc>
      </w:tr>
      <w:tr w:rsidR="00836BCF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FC2D01">
              <w:rPr>
                <w:sz w:val="20"/>
                <w:szCs w:val="20"/>
              </w:rPr>
              <w:t>6</w:t>
            </w:r>
          </w:p>
        </w:tc>
      </w:tr>
      <w:tr w:rsidR="00836BCF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836BCF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36BCF" w:rsidRDefault="00FC2D01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Miércoles</w:t>
            </w:r>
            <w:r w:rsidR="000B436E">
              <w:rPr>
                <w:sz w:val="20"/>
                <w:szCs w:val="20"/>
              </w:rPr>
              <w:t xml:space="preserve"> 09.00 -13.00</w:t>
            </w:r>
          </w:p>
        </w:tc>
      </w:tr>
      <w:tr w:rsidR="00836BCF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4º</w:t>
            </w: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auto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836BCF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36BCF" w:rsidRDefault="00836BCF">
            <w:pPr>
              <w:ind w:hanging="2"/>
              <w:rPr>
                <w:sz w:val="20"/>
                <w:szCs w:val="20"/>
              </w:rPr>
            </w:pPr>
          </w:p>
        </w:tc>
      </w:tr>
      <w:tr w:rsidR="00836BCF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836BCF" w:rsidRDefault="00836BCF">
            <w:pPr>
              <w:ind w:hanging="2"/>
              <w:rPr>
                <w:sz w:val="20"/>
                <w:szCs w:val="20"/>
              </w:rPr>
            </w:pPr>
          </w:p>
        </w:tc>
      </w:tr>
    </w:tbl>
    <w:p w:rsidR="00836BCF" w:rsidRDefault="00836BCF"/>
    <w:p w:rsidR="00836BCF" w:rsidRDefault="00836BCF">
      <w:pPr>
        <w:jc w:val="both"/>
        <w:rPr>
          <w:sz w:val="22"/>
          <w:szCs w:val="22"/>
          <w:u w:val="single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jc w:val="both"/>
        <w:rPr>
          <w:sz w:val="22"/>
          <w:szCs w:val="22"/>
        </w:rPr>
      </w:pPr>
      <w:r>
        <w:rPr>
          <w:noProof/>
          <w:lang w:val="es-AR"/>
        </w:rPr>
        <mc:AlternateContent>
          <mc:Choice Requires="wpg">
            <w:drawing>
              <wp:anchor distT="0" distB="0" distL="89535" distR="89535" simplePos="0" relativeHeight="251658240" behindDoc="0" locked="0" layoutInCell="1" hidden="0" allowOverlap="1">
                <wp:simplePos x="0" y="0"/>
                <wp:positionH relativeFrom="column">
                  <wp:posOffset>1524635</wp:posOffset>
                </wp:positionH>
                <wp:positionV relativeFrom="paragraph">
                  <wp:posOffset>76200</wp:posOffset>
                </wp:positionV>
                <wp:extent cx="3049270" cy="298450"/>
                <wp:effectExtent l="0" t="0" r="0" b="0"/>
                <wp:wrapSquare wrapText="bothSides" distT="0" distB="0" distL="89535" distR="89535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6128" y="3635538"/>
                          <a:ext cx="303974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36BCF" w:rsidRDefault="000B436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</w:t>
                            </w:r>
                          </w:p>
                          <w:p w:rsidR="00836BCF" w:rsidRDefault="00836BC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89535" distR="89535" hidden="0" layoutInCell="1" locked="0" relativeHeight="0" simplePos="0">
                <wp:simplePos x="0" y="0"/>
                <wp:positionH relativeFrom="column">
                  <wp:posOffset>1524635</wp:posOffset>
                </wp:positionH>
                <wp:positionV relativeFrom="paragraph">
                  <wp:posOffset>76200</wp:posOffset>
                </wp:positionV>
                <wp:extent cx="3049270" cy="298450"/>
                <wp:effectExtent b="0" l="0" r="0" t="0"/>
                <wp:wrapSquare wrapText="bothSides" distB="0" distT="0" distL="89535" distR="89535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9270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 xml:space="preserve">CICLO: 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>(Marque con una cruz el ciclo correspondiente)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COMPOSICIÓN DE LA CÁTEDRA:</w:t>
      </w:r>
    </w:p>
    <w:p w:rsidR="00836BCF" w:rsidRDefault="00836BCF">
      <w:pPr>
        <w:ind w:left="360"/>
        <w:jc w:val="both"/>
        <w:rPr>
          <w:sz w:val="22"/>
          <w:szCs w:val="22"/>
        </w:rPr>
      </w:pPr>
    </w:p>
    <w:p w:rsidR="00836BCF" w:rsidRDefault="00836BCF">
      <w:pPr>
        <w:ind w:hanging="2"/>
        <w:jc w:val="both"/>
        <w:rPr>
          <w:sz w:val="22"/>
          <w:szCs w:val="22"/>
        </w:rPr>
      </w:pPr>
    </w:p>
    <w:tbl>
      <w:tblPr>
        <w:tblStyle w:val="a1"/>
        <w:tblW w:w="886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005"/>
        <w:gridCol w:w="1875"/>
        <w:gridCol w:w="2985"/>
      </w:tblGrid>
      <w:tr w:rsidR="00836BCF">
        <w:trPr>
          <w:trHeight w:val="379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836BCF">
        <w:trPr>
          <w:trHeight w:val="502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Lic. </w:t>
            </w:r>
            <w:r w:rsidR="00FC2D01">
              <w:rPr>
                <w:b/>
                <w:sz w:val="22"/>
                <w:szCs w:val="22"/>
              </w:rPr>
              <w:t>Esteban Guidi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0B436E" w:rsidP="00FC2D01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Sede: Centro / Turno </w:t>
            </w:r>
            <w:r w:rsidR="00FC2D01">
              <w:rPr>
                <w:b/>
                <w:sz w:val="22"/>
                <w:szCs w:val="22"/>
              </w:rPr>
              <w:t>Mañana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6BCF" w:rsidRDefault="00EC1240">
            <w:pPr>
              <w:ind w:hanging="2"/>
              <w:jc w:val="both"/>
              <w:rPr>
                <w:sz w:val="22"/>
                <w:szCs w:val="22"/>
              </w:rPr>
            </w:pPr>
            <w:hyperlink r:id="rId9" w:history="1">
              <w:r w:rsidR="00FC2D01" w:rsidRPr="00197597">
                <w:rPr>
                  <w:rStyle w:val="Hipervnculo"/>
                  <w:sz w:val="22"/>
                  <w:szCs w:val="22"/>
                  <w:highlight w:val="white"/>
                </w:rPr>
                <w:t>estebanguidi@usal.edu.ar</w:t>
              </w:r>
            </w:hyperlink>
          </w:p>
        </w:tc>
      </w:tr>
    </w:tbl>
    <w:p w:rsidR="00836BCF" w:rsidRDefault="00836BCF">
      <w:pPr>
        <w:ind w:left="360"/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EJE/ÁREA EN QUE SE ENCUENTRA LA MATERIA/SEMINARIO DENTRO DE LA CARRERA: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Comunicación Social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FUNDAMENTACIÓN DE LA MATERIA/SEMINARIO EN LA CARRERA: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trabajo de la comunicación implica la puesta en marcha de campañas específicas, que conllevan el establecimiento de metas y objetivos a alcanzar en un tiempo determinado, con una cierta cantidad de recursos, a partir de una situación previa. 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 llevar  adelante estas tareas de manera adecuada es necesario contar con conocimientos y aptitudes provenientes del campo más amplio de la gestión de proyectos. Esta asignatura tiene el propósito de brindar a los futuros profesionales los saberes relativos a este ámbito de actividad, encuadrados en el marco específico de la comunicación institucional.   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OBJETIVOS DE LA MATERIA: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color w:val="000000"/>
          <w:sz w:val="22"/>
          <w:szCs w:val="22"/>
        </w:rPr>
        <w:t>Que el estudiante logre:</w:t>
      </w:r>
      <w:r>
        <w:rPr>
          <w:sz w:val="22"/>
          <w:szCs w:val="22"/>
        </w:rPr>
        <w:br/>
        <w:t>- Conocer los distintos pasos necesarios para llevar adelante una campaña específica de comunicación.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- Planificar proyectos de comunicación destinados a alcanzar objetivos predeterminado.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- Dominar diversas técnicas y herramientas de administración de tiempo, personal y recursos económicos.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- Evaluar la conveniencia de distintas alternativas de acción en base a las variables de costo y beneficio.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- Establecer metas y objetivos alcanzables y cuantificables, que marquen el camino a seguir en el desarrollo de una campaña determinada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>- Controlar el proceso completo de ejecución de un proyecto y medir sus resultados.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 xml:space="preserve">ASIGNACIÓN HORARIA: </w:t>
      </w:r>
      <w:r>
        <w:rPr>
          <w:i/>
          <w:sz w:val="22"/>
          <w:szCs w:val="22"/>
        </w:rPr>
        <w:t>(discriminar carga horaria teórica y práctica para carreras que acreditan ante CONEAU)</w:t>
      </w:r>
    </w:p>
    <w:p w:rsidR="00836BCF" w:rsidRDefault="00836BCF">
      <w:pPr>
        <w:jc w:val="both"/>
        <w:rPr>
          <w:sz w:val="22"/>
          <w:szCs w:val="22"/>
        </w:rPr>
      </w:pPr>
    </w:p>
    <w:tbl>
      <w:tblPr>
        <w:tblStyle w:val="a2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836BCF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shd w:val="clear" w:color="auto" w:fill="auto"/>
            <w:vAlign w:val="center"/>
          </w:tcPr>
          <w:p w:rsidR="00836BCF" w:rsidRDefault="00836BC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836BCF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presencial/presencial remota </w:t>
            </w:r>
            <w:r>
              <w:rPr>
                <w:sz w:val="20"/>
                <w:szCs w:val="20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836BCF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a distancia </w:t>
            </w:r>
          </w:p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836BCF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836BCF" w:rsidRDefault="000B436E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836BCF" w:rsidRDefault="000B436E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</w:tbl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UNIDADES TEMÁTICAS, CONTENIDOS, BIBLIOGRAFÍA BÁSICA POR UNIDAD TEMÁTICA: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UNIDAD 1: </w:t>
      </w:r>
      <w:r>
        <w:rPr>
          <w:sz w:val="22"/>
          <w:szCs w:val="22"/>
        </w:rPr>
        <w:t>Planificación de estrategias de comunicación. Desarrollo de estrategias de comunicación a nivel profesional. Elementos de la planificación. Análisis holístico del entorno/situación. Modelo de análisis PESTEL. Matriz de las cinco fuerzas de Porter. Objetivos. Construcción de audiencias y públicos. Estrategias y tácticas. Mensajes claves. Canales. Calendario. Diagramas de Gantt. Presupuesto. Definición de los costos. Implementación. Evaluación y revisión. Análisis en red. PERT Chart. Programación por camino crítico: CPM.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br/>
        <w:t>Bibliografía obligatoria: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Di Genova, A. (2012). Manual de relaciones públicas e institucionales. Buenos Aires, Argentina: Ugerman Editor. Capítulo 4.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Grunig, J. E., &amp; Hunt, T. (2000). Dirección de relaciones públicas. Gestión 2000. Capítulo 8.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sz w:val="22"/>
          <w:szCs w:val="22"/>
        </w:rPr>
        <w:t>Wilcox, D. L., Cameron, G. T., &amp; Xifra, J. (2012). Relaciones públicas: Estrategias y tácticas. Madrid: Pearson Educación. Capítulo 6.</w:t>
      </w:r>
      <w:r>
        <w:rPr>
          <w:sz w:val="22"/>
          <w:szCs w:val="22"/>
        </w:rPr>
        <w:br/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2: Necesidades, recursos y riesgos. Relación costo-beneficio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Análisis de las necesidades de implementación. Asignación de recursos humanos. Funciones. Toma de decisiones: selección de una alternativa. Tercerización de servicios. Relaciones con proveedores 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Asignación de Recursos financieros. Fuentes de financiación. Recursos propios; ajenos; croudfounding;  fundraising 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Riesgos. Impacto en el negocio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Análisis de costo beneficio. Análisis del valor esperado. Add Value. ROI. El cuadro de mando.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Bibliografía obligatoria: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Di Genova, A. (2012). Manual de relaciones públicas e institucionales. Buenos Aires, Argentina: Ugerman Editor. Capítulo 4.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Grunig, J. E., &amp; Hunt, T. (2000). Dirección de relaciones públicas. Gestión 2000. Capítulo 8.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3: Establecimiento y medición de objetivos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Definición y elección de metas y objetivos. Naturaleza de las metas y objetivos. Las metas y la eficacia de la organización. El establecimiento de objetivos.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El propósito de la evaluación. Fases de la evaluación. Evaluación de procesos. Métodos de evaluación.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Resultados cuantitativos en las empresas de comunicación. Tipos de medición: exposición al mensaje, grado de concienciación del público, actitud del público y acción del público. Herramientas de medición: rating, circulación, tráfico-clicks, SEO y SEM, métricas online. El problema de la definición de resultados cualitativos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Seguimiento de proyectos: reportes y reuniones. Análisis de resultados y procesos de optimización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Bibliografía obligatoria:</w:t>
      </w:r>
    </w:p>
    <w:p w:rsidR="00836BCF" w:rsidRPr="00FC2D01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sz w:val="22"/>
          <w:szCs w:val="22"/>
        </w:rPr>
      </w:pPr>
      <w:r w:rsidRPr="00FC2D01">
        <w:rPr>
          <w:bCs/>
          <w:sz w:val="22"/>
          <w:szCs w:val="22"/>
        </w:rPr>
        <w:t>Grunig, J. E., &amp; Hunt, T. (2000). Dirección de relaciones públicas. Gestión 2000. Capítulos 6 y 9</w:t>
      </w:r>
    </w:p>
    <w:p w:rsidR="00836BCF" w:rsidRPr="00FC2D01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sz w:val="22"/>
          <w:szCs w:val="22"/>
        </w:rPr>
      </w:pPr>
      <w:r w:rsidRPr="00FC2D01">
        <w:rPr>
          <w:bCs/>
          <w:sz w:val="22"/>
          <w:szCs w:val="22"/>
        </w:rPr>
        <w:t>Wilcox, D. L., Cameron, G. T., &amp;  Xifra, J. (2012). Relaciones públicas: Estrategias y tácticas. Madrid: Pearson Educación. Capítulos 8.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4: Soportes, formatos, rubros y sectores. 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Comunicaciones de masas: Medios gráficos. TV. Radio. Social media. Relaciones con los medios. Comunicado de prensa y gacetilla. Gestión de medios y pitch de nota. Los públicos de los medios. Los objetivos con los medios.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Producciones gráficas. Producciones audiovisuales. Discurso hablado. Internet y redes sociales. Prensa. Pauta publicitaria. Eventos. Publicidad. Marketing directo.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Trabajo en tiempo real: consultora de comunicación, departamento/área de comunicación. Asuntos públicos.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Bibliografía obligatoria: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Grunig, J. E., &amp; Hunt, T. (2000). Dirección de relaciones públicas. Gestión 2000. Capítulos 11, 19 - 31.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Di Genova, A. (2012). Manual de relaciones públicas e institucionales. Buenos Aires, Argentina: Ugerman Editor. Capítulo 6.</w:t>
      </w:r>
    </w:p>
    <w:p w:rsidR="00836BCF" w:rsidRDefault="000B436E" w:rsidP="00FC2D0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Wilcox, D. L., Cameron, G. T., &amp;  Xifra, J. (2012). Relaciones públicas: Estrategias y tácticas. Madrid: Pearson Educación. Capítulo 13 - 16.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836BCF" w:rsidRDefault="000B436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 5: Inteligencia Artificial en Comunicación para PYMEs y Organizaciones. 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Qué es la IA y cómo se aplica a la generación de contenido, segmentación y automatización. 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Principales herramientas. Casos de estudio. El Rol del profesional de la comunicación: ajuste del tono institucional a la IA, humanización de la comunicación automatizada, gestión ética del contenido y de los datos personales, validación y control editorial sobre lo generado automáticamente. Aspectos éticos y legales: Datos sensibles, transparencia con públicos: lenguaje claro, avisos, consentimiento; riesgos reputacionales; evaluación del impacto e indicadores cuantitativos.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>Lecciones aprendidas: límites de la IA y necesidad del criterio humano.</w:t>
      </w:r>
    </w:p>
    <w:p w:rsidR="00836BCF" w:rsidRDefault="000B436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Bibliografía obligatoria: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  <w:highlight w:val="white"/>
        </w:rPr>
      </w:pP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  <w:highlight w:val="white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RECURSOS METODOLÓGICOS</w:t>
      </w:r>
      <w:r>
        <w:rPr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836BCF" w:rsidRDefault="000B436E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En el entorno presencial o presencial remoto</w:t>
      </w:r>
    </w:p>
    <w:p w:rsidR="00836BCF" w:rsidRDefault="000B436E">
      <w:pPr>
        <w:numPr>
          <w:ilvl w:val="0"/>
          <w:numId w:val="3"/>
        </w:numPr>
        <w:jc w:val="both"/>
      </w:pPr>
      <w:r>
        <w:rPr>
          <w:sz w:val="22"/>
          <w:szCs w:val="22"/>
        </w:rPr>
        <w:t>Discusión de temáticas y noticias de actualidad vinculadas a la materia.</w:t>
      </w:r>
    </w:p>
    <w:p w:rsidR="00836BCF" w:rsidRDefault="000B436E">
      <w:pPr>
        <w:numPr>
          <w:ilvl w:val="0"/>
          <w:numId w:val="3"/>
        </w:numPr>
        <w:jc w:val="both"/>
      </w:pPr>
      <w:r>
        <w:rPr>
          <w:sz w:val="22"/>
          <w:szCs w:val="22"/>
        </w:rPr>
        <w:t>Sistematización del modo de uso y vínculo de los alumnos con el objeto de estudio.</w:t>
      </w:r>
    </w:p>
    <w:p w:rsidR="00836BCF" w:rsidRDefault="000B436E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En el entorno virtual asincrónico</w:t>
      </w:r>
    </w:p>
    <w:p w:rsidR="00836BCF" w:rsidRDefault="000B436E">
      <w:pPr>
        <w:numPr>
          <w:ilvl w:val="0"/>
          <w:numId w:val="3"/>
        </w:numPr>
        <w:jc w:val="both"/>
      </w:pPr>
      <w:r>
        <w:rPr>
          <w:sz w:val="22"/>
          <w:szCs w:val="22"/>
        </w:rPr>
        <w:t>Análisis de textos teóricos.</w:t>
      </w:r>
    </w:p>
    <w:p w:rsidR="00836BCF" w:rsidRDefault="000B436E">
      <w:pPr>
        <w:numPr>
          <w:ilvl w:val="0"/>
          <w:numId w:val="3"/>
        </w:numPr>
        <w:jc w:val="both"/>
      </w:pPr>
      <w:r>
        <w:rPr>
          <w:sz w:val="22"/>
          <w:szCs w:val="22"/>
        </w:rPr>
        <w:t>Visionado y discusión de análisis de casos nacionales y extranjeros.</w:t>
      </w:r>
    </w:p>
    <w:p w:rsidR="00836BCF" w:rsidRDefault="00836B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 xml:space="preserve">DETALLE DE ACTIVIDADES DE FORMACIÓN PRÁCTICA  </w:t>
      </w:r>
    </w:p>
    <w:p w:rsidR="00836BCF" w:rsidRDefault="000B436E">
      <w:pPr>
        <w:spacing w:after="200"/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Consigna</w:t>
      </w:r>
      <w:r>
        <w:rPr>
          <w:sz w:val="22"/>
          <w:szCs w:val="22"/>
        </w:rPr>
        <w:t>: A partir de los textos, contenidos y características del aprendizaje visto en clase observar y desarrollar los siguientes pasos para la confección de normas y políticas de comunicación institucional.</w:t>
      </w:r>
    </w:p>
    <w:p w:rsidR="00836BCF" w:rsidRDefault="000B436E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Objetivos: Que los alumnos logren desarrollar competencias específicas para: </w:t>
      </w:r>
    </w:p>
    <w:p w:rsidR="00836BCF" w:rsidRDefault="000B436E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identificar relacionando los conceptos y temáticas centrales de la práctica profesional. </w:t>
      </w:r>
    </w:p>
    <w:p w:rsidR="00836BCF" w:rsidRDefault="000B436E">
      <w:pPr>
        <w:spacing w:after="20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Utilizar herramientas virtuales que permitan el trabajo y los procesos para llegar a cumplir los pasos en el desarrollo de su rol profesional. </w:t>
      </w:r>
    </w:p>
    <w:p w:rsidR="00836BCF" w:rsidRDefault="000B436E">
      <w:pPr>
        <w:spacing w:after="20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Modalidad: actividad grupal. </w:t>
      </w:r>
      <w:r>
        <w:rPr>
          <w:sz w:val="22"/>
          <w:szCs w:val="22"/>
        </w:rPr>
        <w:br/>
        <w:t>Herramienta virtual: Foro de discusión en espacio virtual.</w:t>
      </w:r>
      <w:r>
        <w:rPr>
          <w:sz w:val="22"/>
          <w:szCs w:val="22"/>
        </w:rPr>
        <w:br/>
        <w:t xml:space="preserve">Evaluación: debate y puesta en común de tipo conceptual. </w:t>
      </w: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SEGUIMIENTO DE ALUMNOS</w:t>
      </w:r>
    </w:p>
    <w:p w:rsidR="00836BCF" w:rsidRDefault="000B436E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</w:rPr>
      </w:pPr>
      <w:r>
        <w:rPr>
          <w:b/>
          <w:color w:val="000000"/>
        </w:rPr>
        <w:t xml:space="preserve">Modelo de seguimiento de los alumnos: </w:t>
      </w:r>
      <w:r>
        <w:rPr>
          <w:color w:val="000000"/>
        </w:rPr>
        <w:t>Participación en las actividades del campus, foros y debates a desarrollar sobre los contenidos vistos en clases mediante el seguimiento del alumno de sus reportes en la plataforma.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CRITERIOS E INSTRUMENTOS DE EVALUACIÓN PARCIAL: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>Las instancias de evaluación del cuatrimestre consistirán en dos parciales  individuales por la plataforma  (</w:t>
      </w:r>
      <w:r>
        <w:rPr>
          <w:i/>
          <w:sz w:val="20"/>
          <w:szCs w:val="20"/>
        </w:rPr>
        <w:t>por videoconferencia</w:t>
      </w:r>
      <w:r>
        <w:rPr>
          <w:sz w:val="22"/>
          <w:szCs w:val="22"/>
        </w:rPr>
        <w:t xml:space="preserve">) y un trabajo práctico integrador. 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>Los criterios de evaluación de las distintas instancias se realizarán en función de los siguientes parámetros: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Asistencia, conexión  y participación en clase por las videoconferencias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 xml:space="preserve">Capacidad para articular teoría y práctica. 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Creatividad de las propuestas y presentaciones.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Calidad y consistencia de los contenidos.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Utilización de bibliografía obligatoria.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Aportes de fuentes complementarias a las obligatorias.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 xml:space="preserve">Argumentación de las posturas personales. </w:t>
      </w:r>
    </w:p>
    <w:p w:rsidR="00836BCF" w:rsidRDefault="000B436E">
      <w:pPr>
        <w:numPr>
          <w:ilvl w:val="0"/>
          <w:numId w:val="5"/>
        </w:numPr>
        <w:jc w:val="both"/>
      </w:pPr>
      <w:r>
        <w:rPr>
          <w:sz w:val="22"/>
          <w:szCs w:val="22"/>
        </w:rPr>
        <w:t>Claridad en la redacción y/o presentaciones orales.</w:t>
      </w:r>
    </w:p>
    <w:p w:rsidR="00836BCF" w:rsidRDefault="00836BCF">
      <w:pPr>
        <w:jc w:val="both"/>
        <w:rPr>
          <w:color w:val="00B050"/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RÉGIMEN DE EVALUACIÓN FINAL Y APROBACIÓN DE LA MATERIA:</w:t>
      </w:r>
    </w:p>
    <w:p w:rsidR="00836BCF" w:rsidRDefault="000B436E">
      <w:pPr>
        <w:jc w:val="both"/>
        <w:rPr>
          <w:sz w:val="22"/>
          <w:szCs w:val="22"/>
        </w:rPr>
      </w:pPr>
      <w:r>
        <w:rPr>
          <w:sz w:val="22"/>
          <w:szCs w:val="22"/>
        </w:rPr>
        <w:t>Procedimiento de examen: Evaluación final, según reglamento.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BIBLIOGRAFÍA COMPLEMENTARIA:</w:t>
      </w:r>
    </w:p>
    <w:p w:rsidR="00836BCF" w:rsidRDefault="000B436E">
      <w:pPr>
        <w:spacing w:line="288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Sánchez-Tabernero, Alfonso.  </w:t>
      </w:r>
      <w:r>
        <w:rPr>
          <w:sz w:val="22"/>
          <w:szCs w:val="22"/>
        </w:rPr>
        <w:t xml:space="preserve">Dirección Estratégica de Empresas de Comunicación.  Ediciones Cátedra, Madrid. 2000.  </w:t>
      </w:r>
    </w:p>
    <w:p w:rsidR="00836BCF" w:rsidRDefault="000B436E">
      <w:pPr>
        <w:spacing w:line="288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De Mateo, Rosario. Bergés Saura, Laura. Sabater Casals, Marta. </w:t>
      </w:r>
      <w:r>
        <w:rPr>
          <w:sz w:val="22"/>
          <w:szCs w:val="22"/>
        </w:rPr>
        <w:t xml:space="preserve">Gestión de empresas de comunicación. CS Comunicación Social Ediciones y Publicaciones. Sevilla. 2009 </w:t>
      </w:r>
    </w:p>
    <w:p w:rsidR="00836BCF" w:rsidRDefault="000B436E">
      <w:pPr>
        <w:spacing w:line="288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Caro, Francisco J.</w:t>
      </w:r>
      <w:r>
        <w:rPr>
          <w:sz w:val="22"/>
          <w:szCs w:val="22"/>
        </w:rPr>
        <w:t xml:space="preserve"> Gestión de Empresas Informativas. Mc.Graw-Hill/Interamericana de España, 2007 </w:t>
      </w:r>
    </w:p>
    <w:p w:rsidR="00836BCF" w:rsidRDefault="00836BCF">
      <w:pPr>
        <w:spacing w:line="288" w:lineRule="auto"/>
        <w:jc w:val="both"/>
        <w:rPr>
          <w:b/>
          <w:sz w:val="22"/>
          <w:szCs w:val="22"/>
        </w:rPr>
      </w:pPr>
    </w:p>
    <w:p w:rsidR="00836BCF" w:rsidRDefault="00836BCF">
      <w:pPr>
        <w:jc w:val="both"/>
        <w:rPr>
          <w:color w:val="00B050"/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FIRMA DE DOCENTES:</w:t>
      </w: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836BCF">
      <w:pPr>
        <w:jc w:val="both"/>
        <w:rPr>
          <w:sz w:val="22"/>
          <w:szCs w:val="22"/>
        </w:rPr>
      </w:pPr>
    </w:p>
    <w:p w:rsidR="00836BCF" w:rsidRDefault="000B436E">
      <w:pPr>
        <w:numPr>
          <w:ilvl w:val="0"/>
          <w:numId w:val="2"/>
        </w:numPr>
        <w:jc w:val="both"/>
      </w:pPr>
      <w:r>
        <w:rPr>
          <w:b/>
          <w:sz w:val="22"/>
          <w:szCs w:val="22"/>
        </w:rPr>
        <w:t>FIRMA DEL DIRECTOR DE LA CARRERA</w:t>
      </w:r>
    </w:p>
    <w:sectPr w:rsidR="00836BCF">
      <w:footerReference w:type="default" r:id="rId10"/>
      <w:pgSz w:w="11906" w:h="16838"/>
      <w:pgMar w:top="1418" w:right="1133" w:bottom="1418" w:left="1134" w:header="72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231" w:rsidRDefault="007A0231">
      <w:r>
        <w:separator/>
      </w:r>
    </w:p>
  </w:endnote>
  <w:endnote w:type="continuationSeparator" w:id="0">
    <w:p w:rsidR="007A0231" w:rsidRDefault="007A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BCF" w:rsidRDefault="000B43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  <w:r>
      <w:rPr>
        <w:noProof/>
        <w:lang w:val="es-AR"/>
      </w:rPr>
      <mc:AlternateContent>
        <mc:Choice Requires="wpg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6756400</wp:posOffset>
              </wp:positionH>
              <wp:positionV relativeFrom="paragraph">
                <wp:posOffset>0</wp:posOffset>
              </wp:positionV>
              <wp:extent cx="80645" cy="179070"/>
              <wp:effectExtent l="0" t="0" r="0" b="0"/>
              <wp:wrapSquare wrapText="bothSides" distT="0" distB="0" distL="0" distR="0"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10440" y="3695228"/>
                        <a:ext cx="71120" cy="169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836BCF" w:rsidRDefault="000B436E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PAGE 2</w:t>
                          </w:r>
                        </w:p>
                        <w:p w:rsidR="00836BCF" w:rsidRDefault="00836BC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6756400</wp:posOffset>
              </wp:positionH>
              <wp:positionV relativeFrom="paragraph">
                <wp:posOffset>0</wp:posOffset>
              </wp:positionV>
              <wp:extent cx="80645" cy="179070"/>
              <wp:effectExtent b="0" l="0" r="0" t="0"/>
              <wp:wrapSquare wrapText="bothSides" distB="0" distT="0" distL="0" distR="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0645" cy="1790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231" w:rsidRDefault="007A0231">
      <w:r>
        <w:separator/>
      </w:r>
    </w:p>
  </w:footnote>
  <w:footnote w:type="continuationSeparator" w:id="0">
    <w:p w:rsidR="007A0231" w:rsidRDefault="007A0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E25B8"/>
    <w:multiLevelType w:val="multilevel"/>
    <w:tmpl w:val="78D4DD3C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2B917F0"/>
    <w:multiLevelType w:val="multilevel"/>
    <w:tmpl w:val="EBA4BB16"/>
    <w:lvl w:ilvl="0">
      <w:start w:val="1"/>
      <w:numFmt w:val="decimal"/>
      <w:lvlText w:val=""/>
      <w:lvlJc w:val="left"/>
      <w:pPr>
        <w:ind w:left="432" w:hanging="432"/>
      </w:pPr>
      <w:rPr>
        <w:rFonts w:ascii="Arial" w:eastAsia="Arial" w:hAnsi="Arial" w:cs="Arial"/>
        <w:b/>
        <w:i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45FD3585"/>
    <w:multiLevelType w:val="multilevel"/>
    <w:tmpl w:val="BE6A8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7867878"/>
    <w:multiLevelType w:val="multilevel"/>
    <w:tmpl w:val="C99E3E8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i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D6472DC"/>
    <w:multiLevelType w:val="multilevel"/>
    <w:tmpl w:val="7D34D8EC"/>
    <w:lvl w:ilvl="0">
      <w:start w:val="1"/>
      <w:numFmt w:val="lowerLetter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CF"/>
    <w:rsid w:val="000B436E"/>
    <w:rsid w:val="007A0231"/>
    <w:rsid w:val="007A3F8D"/>
    <w:rsid w:val="00836BCF"/>
    <w:rsid w:val="00EA77F1"/>
    <w:rsid w:val="00EC1240"/>
    <w:rsid w:val="00FC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3CF4"/>
  <w15:docId w15:val="{324F6F05-CE4F-4CDC-83F8-95B2F220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FC2D01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C2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stebanguidi@usal.edu.a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1513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Cristina Pusic - Cs. Educación</dc:creator>
  <cp:lastModifiedBy>Jimena Diaz Perez - Cs. Educacion</cp:lastModifiedBy>
  <cp:revision>4</cp:revision>
  <dcterms:created xsi:type="dcterms:W3CDTF">2026-02-18T16:44:00Z</dcterms:created>
  <dcterms:modified xsi:type="dcterms:W3CDTF">2026-06-29T19:27:00Z</dcterms:modified>
</cp:coreProperties>
</file>