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6A" w:rsidRPr="00BE66C5" w:rsidRDefault="0002746A" w:rsidP="00BE66C5">
      <w:pPr>
        <w:spacing w:after="12"/>
        <w:sectPr w:rsidR="0002746A" w:rsidRPr="00BE66C5">
          <w:footerReference w:type="even" r:id="rId7"/>
          <w:footerReference w:type="default" r:id="rId8"/>
          <w:footerReference w:type="first" r:id="rId9"/>
          <w:pgSz w:w="11900" w:h="16840"/>
          <w:pgMar w:top="1440" w:right="2105" w:bottom="1440" w:left="1141" w:header="720" w:footer="295" w:gutter="0"/>
          <w:cols w:num="2" w:space="720" w:equalWidth="0">
            <w:col w:w="3731" w:space="1739"/>
            <w:col w:w="3184"/>
          </w:cols>
        </w:sectPr>
      </w:pPr>
    </w:p>
    <w:p w:rsidR="00BE66C5" w:rsidRDefault="00BE66C5" w:rsidP="00BE66C5">
      <w:pPr>
        <w:spacing w:after="9"/>
        <w:ind w:right="11"/>
        <w:rPr>
          <w:rFonts w:ascii="Times New Roman" w:eastAsia="Times New Roman" w:hAnsi="Times New Roman" w:cs="Times New Roman"/>
          <w:b/>
        </w:rPr>
      </w:pPr>
    </w:p>
    <w:tbl>
      <w:tblPr>
        <w:tblStyle w:val="Tablaconcuadrcula"/>
        <w:tblW w:w="9665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33"/>
      </w:tblGrid>
      <w:tr w:rsidR="00BE66C5" w:rsidTr="00BE66C5">
        <w:trPr>
          <w:trHeight w:val="2294"/>
        </w:trPr>
        <w:tc>
          <w:tcPr>
            <w:tcW w:w="4832" w:type="dxa"/>
          </w:tcPr>
          <w:p w:rsidR="00BE66C5" w:rsidRDefault="00BE66C5" w:rsidP="00BE66C5">
            <w:pPr>
              <w:spacing w:after="0"/>
              <w:ind w:left="354"/>
              <w:jc w:val="center"/>
            </w:pPr>
            <w:r>
              <w:rPr>
                <w:noProof/>
              </w:rPr>
              <w:drawing>
                <wp:inline distT="0" distB="0" distL="0" distR="0" wp14:anchorId="301D1BD9" wp14:editId="67C23370">
                  <wp:extent cx="562610" cy="712470"/>
                  <wp:effectExtent l="0" t="0" r="0" b="0"/>
                  <wp:docPr id="342" name="Picture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E66C5" w:rsidRPr="00BE66C5" w:rsidRDefault="00BE66C5" w:rsidP="00BE66C5">
            <w:pPr>
              <w:spacing w:after="0"/>
              <w:ind w:left="3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66C5">
              <w:rPr>
                <w:rFonts w:ascii="Times New Roman" w:eastAsia="Times New Roman" w:hAnsi="Times New Roman" w:cs="Times New Roman"/>
                <w:b/>
                <w:sz w:val="24"/>
              </w:rPr>
              <w:t>UNIVERSIDAD DEL SALVADOR</w:t>
            </w:r>
            <w:r w:rsidRPr="00BE66C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E66C5" w:rsidRDefault="00BE66C5" w:rsidP="00BE66C5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</w:t>
            </w:r>
            <w:r w:rsidRPr="00BE66C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Facultad de Ciencias Sociales, Educación </w:t>
            </w:r>
          </w:p>
          <w:p w:rsidR="00BE66C5" w:rsidRPr="00BE66C5" w:rsidRDefault="00BE66C5" w:rsidP="00BE66C5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</w:t>
            </w:r>
            <w:r w:rsidRPr="00BE66C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y Comunicación</w:t>
            </w:r>
            <w:r w:rsidRPr="00BE66C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E66C5" w:rsidRDefault="00BE66C5" w:rsidP="00BE66C5">
            <w:pPr>
              <w:spacing w:after="9"/>
              <w:ind w:right="1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33" w:type="dxa"/>
          </w:tcPr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BE66C5" w:rsidRDefault="00BE66C5" w:rsidP="00BE66C5">
            <w:pPr>
              <w:spacing w:after="9"/>
              <w:ind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66C5">
              <w:rPr>
                <w:rFonts w:ascii="Times New Roman" w:eastAsia="Times New Roman" w:hAnsi="Times New Roman" w:cs="Times New Roman"/>
                <w:b/>
                <w:i/>
              </w:rPr>
              <w:t>Licenciatura en Publicidad</w:t>
            </w:r>
          </w:p>
        </w:tc>
      </w:tr>
    </w:tbl>
    <w:p w:rsidR="00BE66C5" w:rsidRDefault="00BE66C5" w:rsidP="00BE66C5">
      <w:pPr>
        <w:spacing w:after="9"/>
        <w:ind w:left="10" w:right="11" w:hanging="10"/>
        <w:rPr>
          <w:rFonts w:ascii="Times New Roman" w:eastAsia="Times New Roman" w:hAnsi="Times New Roman" w:cs="Times New Roman"/>
          <w:b/>
        </w:rPr>
      </w:pPr>
    </w:p>
    <w:p w:rsidR="00BE66C5" w:rsidRDefault="00BE66C5" w:rsidP="00BE66C5">
      <w:pPr>
        <w:spacing w:after="9"/>
        <w:ind w:left="10" w:right="11" w:hanging="10"/>
        <w:rPr>
          <w:rFonts w:ascii="Times New Roman" w:eastAsia="Times New Roman" w:hAnsi="Times New Roman" w:cs="Times New Roman"/>
          <w:b/>
        </w:rPr>
      </w:pPr>
    </w:p>
    <w:p w:rsidR="00BE66C5" w:rsidRDefault="00BE66C5" w:rsidP="00BE66C5">
      <w:pPr>
        <w:spacing w:after="9"/>
        <w:ind w:left="10" w:right="11" w:hanging="10"/>
        <w:rPr>
          <w:rFonts w:ascii="Times New Roman" w:eastAsia="Times New Roman" w:hAnsi="Times New Roman" w:cs="Times New Roman"/>
          <w:b/>
        </w:rPr>
      </w:pPr>
    </w:p>
    <w:p w:rsidR="00BE66C5" w:rsidRDefault="00BE66C5" w:rsidP="00BE66C5">
      <w:pPr>
        <w:spacing w:after="9"/>
        <w:ind w:left="10" w:right="11" w:hanging="1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BE66C5" w:rsidRDefault="00BE66C5" w:rsidP="00BE66C5">
      <w:pPr>
        <w:spacing w:after="9"/>
        <w:ind w:left="10" w:right="11" w:hanging="10"/>
        <w:rPr>
          <w:rFonts w:ascii="Times New Roman" w:eastAsia="Times New Roman" w:hAnsi="Times New Roman" w:cs="Times New Roman"/>
          <w:b/>
        </w:rPr>
      </w:pPr>
    </w:p>
    <w:p w:rsidR="00BE66C5" w:rsidRDefault="00BE66C5" w:rsidP="00BE66C5">
      <w:pPr>
        <w:spacing w:after="9"/>
        <w:ind w:left="10" w:right="11" w:hanging="10"/>
        <w:rPr>
          <w:rFonts w:ascii="Times New Roman" w:eastAsia="Times New Roman" w:hAnsi="Times New Roman" w:cs="Times New Roman"/>
          <w:b/>
        </w:rPr>
      </w:pPr>
    </w:p>
    <w:p w:rsidR="0002746A" w:rsidRDefault="00BE66C5">
      <w:pPr>
        <w:spacing w:after="9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</w:rPr>
        <w:t>PROGRAMA 2026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02746A" w:rsidRDefault="00BE66C5">
      <w:pPr>
        <w:spacing w:after="0"/>
        <w:ind w:left="-93" w:right="-76"/>
      </w:pPr>
      <w:r>
        <w:rPr>
          <w:noProof/>
        </w:rPr>
        <w:drawing>
          <wp:inline distT="0" distB="0" distL="0" distR="0">
            <wp:extent cx="6233160" cy="2429256"/>
            <wp:effectExtent l="0" t="0" r="0" b="0"/>
            <wp:docPr id="16406" name="Picture 16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" name="Picture 164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numPr>
          <w:ilvl w:val="0"/>
          <w:numId w:val="1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1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02746A" w:rsidRDefault="00BE66C5">
      <w:pPr>
        <w:tabs>
          <w:tab w:val="center" w:pos="2901"/>
          <w:tab w:val="center" w:pos="3653"/>
          <w:tab w:val="center" w:pos="5305"/>
          <w:tab w:val="center" w:pos="6942"/>
        </w:tabs>
        <w:spacing w:after="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1540513</wp:posOffset>
                </wp:positionH>
                <wp:positionV relativeFrom="paragraph">
                  <wp:posOffset>-73178</wp:posOffset>
                </wp:positionV>
                <wp:extent cx="3038856" cy="301752"/>
                <wp:effectExtent l="0" t="0" r="0" b="0"/>
                <wp:wrapNone/>
                <wp:docPr id="15284" name="Group 15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301752"/>
                          <a:chOff x="0" y="0"/>
                          <a:chExt cx="3038856" cy="301752"/>
                        </a:xfrm>
                      </wpg:grpSpPr>
                      <wps:wsp>
                        <wps:cNvPr id="17090" name="Shape 17090"/>
                        <wps:cNvSpPr/>
                        <wps:spPr>
                          <a:xfrm>
                            <a:off x="6096" y="6096"/>
                            <a:ext cx="591312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2" h="289561">
                                <a:moveTo>
                                  <a:pt x="0" y="0"/>
                                </a:moveTo>
                                <a:lnTo>
                                  <a:pt x="591312" y="0"/>
                                </a:lnTo>
                                <a:lnTo>
                                  <a:pt x="591312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1" name="Shape 17091"/>
                        <wps:cNvSpPr/>
                        <wps:spPr>
                          <a:xfrm>
                            <a:off x="73152" y="70104"/>
                            <a:ext cx="45720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615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2" name="Shape 17092"/>
                        <wps:cNvSpPr/>
                        <wps:spPr>
                          <a:xfrm>
                            <a:off x="966216" y="6096"/>
                            <a:ext cx="1725168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289561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3" name="Shape 17093"/>
                        <wps:cNvSpPr/>
                        <wps:spPr>
                          <a:xfrm>
                            <a:off x="1030224" y="70104"/>
                            <a:ext cx="159715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2" h="161544">
                                <a:moveTo>
                                  <a:pt x="0" y="0"/>
                                </a:moveTo>
                                <a:lnTo>
                                  <a:pt x="1597152" y="0"/>
                                </a:lnTo>
                                <a:lnTo>
                                  <a:pt x="159715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4" name="Shape 1709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5" name="Shape 17095"/>
                        <wps:cNvSpPr/>
                        <wps:spPr>
                          <a:xfrm>
                            <a:off x="6096" y="0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6" name="Shape 17096"/>
                        <wps:cNvSpPr/>
                        <wps:spPr>
                          <a:xfrm>
                            <a:off x="5943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7" name="Shape 17097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8" name="Shape 17098"/>
                        <wps:cNvSpPr/>
                        <wps:spPr>
                          <a:xfrm>
                            <a:off x="963168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9" name="Shape 17099"/>
                        <wps:cNvSpPr/>
                        <wps:spPr>
                          <a:xfrm>
                            <a:off x="26913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0" name="Shape 17100"/>
                        <wps:cNvSpPr/>
                        <wps:spPr>
                          <a:xfrm>
                            <a:off x="0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1" name="Shape 17101"/>
                        <wps:cNvSpPr/>
                        <wps:spPr>
                          <a:xfrm>
                            <a:off x="0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2" name="Shape 17102"/>
                        <wps:cNvSpPr/>
                        <wps:spPr>
                          <a:xfrm>
                            <a:off x="6096" y="295656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3" name="Shape 17103"/>
                        <wps:cNvSpPr/>
                        <wps:spPr>
                          <a:xfrm>
                            <a:off x="594360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4" name="Shape 17104"/>
                        <wps:cNvSpPr/>
                        <wps:spPr>
                          <a:xfrm>
                            <a:off x="594360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5" name="Shape 17105"/>
                        <wps:cNvSpPr/>
                        <wps:spPr>
                          <a:xfrm>
                            <a:off x="600456" y="295656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6" name="Shape 17106"/>
                        <wps:cNvSpPr/>
                        <wps:spPr>
                          <a:xfrm>
                            <a:off x="957072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7" name="Shape 17107"/>
                        <wps:cNvSpPr/>
                        <wps:spPr>
                          <a:xfrm>
                            <a:off x="957072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8" name="Shape 17108"/>
                        <wps:cNvSpPr/>
                        <wps:spPr>
                          <a:xfrm>
                            <a:off x="963168" y="295656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9" name="Shape 17109"/>
                        <wps:cNvSpPr/>
                        <wps:spPr>
                          <a:xfrm>
                            <a:off x="2691384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0" name="Shape 17110"/>
                        <wps:cNvSpPr/>
                        <wps:spPr>
                          <a:xfrm>
                            <a:off x="2691384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1" name="Shape 17111"/>
                        <wps:cNvSpPr/>
                        <wps:spPr>
                          <a:xfrm>
                            <a:off x="2697480" y="295656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84" style="width:239.28pt;height:23.76pt;position:absolute;z-index:-2147483418;mso-position-horizontal-relative:text;mso-position-horizontal:absolute;margin-left:121.3pt;mso-position-vertical-relative:text;margin-top:-5.76215pt;" coordsize="30388,3017">
                <v:shape id="Shape 17112" style="position:absolute;width:5913;height:2895;left:60;top:60;" coordsize="591312,289561" path="m0,0l591312,0l591312,289561l0,289561l0,0">
                  <v:stroke weight="0pt" endcap="flat" joinstyle="miter" miterlimit="10" on="false" color="#000000" opacity="0"/>
                  <v:fill on="true" color="#93c47d"/>
                </v:shape>
                <v:shape id="Shape 17113" style="position:absolute;width:4572;height:1615;left:731;top:701;" coordsize="457200,161544" path="m0,0l457200,0l457200,161544l0,161544l0,0">
                  <v:stroke weight="0pt" endcap="flat" joinstyle="miter" miterlimit="10" on="false" color="#000000" opacity="0"/>
                  <v:fill on="true" color="#93c47d"/>
                </v:shape>
                <v:shape id="Shape 17114" style="position:absolute;width:17251;height:2895;left:9662;top:60;" coordsize="1725168,289561" path="m0,0l1725168,0l1725168,289561l0,289561l0,0">
                  <v:stroke weight="0pt" endcap="flat" joinstyle="miter" miterlimit="10" on="false" color="#000000" opacity="0"/>
                  <v:fill on="true" color="#93c47d"/>
                </v:shape>
                <v:shape id="Shape 17115" style="position:absolute;width:15971;height:1615;left:10302;top:701;" coordsize="1597152,161544" path="m0,0l1597152,0l1597152,161544l0,161544l0,0">
                  <v:stroke weight="0pt" endcap="flat" joinstyle="miter" miterlimit="10" on="false" color="#000000" opacity="0"/>
                  <v:fill on="true" color="#93c47d"/>
                </v:shape>
                <v:shape id="Shape 1711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17" style="position:absolute;width:5882;height:91;left:60;top:0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7118" style="position:absolute;width:91;height:91;left:594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19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20" style="position:absolute;width:17282;height:91;left:9631;top:0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7121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22" style="position:absolute;width:91;height:2895;left:0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123" style="position:absolute;width:91;height:91;left:0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24" style="position:absolute;width:5882;height:91;left:60;top:2956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7125" style="position:absolute;width:91;height:2895;left:5943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126" style="position:absolute;width:91;height:91;left:5943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27" style="position:absolute;width:3566;height:91;left:6004;top:2956;" coordsize="356616,9144" path="m0,0l356616,0l356616,9144l0,9144l0,0">
                  <v:stroke weight="0pt" endcap="flat" joinstyle="miter" miterlimit="10" on="false" color="#000000" opacity="0"/>
                  <v:fill on="true" color="#6aa74e"/>
                </v:shape>
                <v:shape id="Shape 17128" style="position:absolute;width:91;height:2895;left:9570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129" style="position:absolute;width:91;height:91;left:9570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30" style="position:absolute;width:17282;height:91;left:9631;top:2956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7131" style="position:absolute;width:91;height:2895;left:26913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7132" style="position:absolute;width:91;height:91;left:26913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7133" style="position:absolute;width:3413;height:91;left:26974;top:2956;" coordsize="341376,9144" path="m0,0l341376,0l341376,9144l0,9144l0,0">
                  <v:stroke weight="0pt" endcap="flat" joinstyle="miter" miterlimit="10" on="false" color="#000000" opacity="0"/>
                  <v:fill on="true" color="#6aa74e"/>
                </v:shape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Básico </w:t>
      </w:r>
      <w:r>
        <w:rPr>
          <w:rFonts w:ascii="Times New Roman" w:eastAsia="Times New Roman" w:hAnsi="Times New Roman" w:cs="Times New Roman"/>
          <w:b/>
        </w:rPr>
        <w:tab/>
        <w:t xml:space="preserve">x </w:t>
      </w:r>
      <w:r>
        <w:rPr>
          <w:rFonts w:ascii="Times New Roman" w:eastAsia="Times New Roman" w:hAnsi="Times New Roman" w:cs="Times New Roman"/>
          <w:b/>
        </w:rPr>
        <w:tab/>
        <w:t xml:space="preserve">Superior/Profesional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numPr>
          <w:ilvl w:val="0"/>
          <w:numId w:val="1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1" w:type="dxa"/>
        <w:tblInd w:w="-96" w:type="dxa"/>
        <w:tblCellMar>
          <w:top w:w="113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1872"/>
        <w:gridCol w:w="2986"/>
      </w:tblGrid>
      <w:tr w:rsidR="0002746A">
        <w:trPr>
          <w:trHeight w:val="644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2746A">
        <w:trPr>
          <w:trHeight w:val="707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 Daniel Gallego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dani34ar@gmail.com </w:t>
            </w:r>
          </w:p>
        </w:tc>
      </w:tr>
    </w:tbl>
    <w:p w:rsidR="0002746A" w:rsidRDefault="00BE66C5">
      <w:pPr>
        <w:spacing w:after="0"/>
        <w:ind w:left="2"/>
      </w:pPr>
      <w:r>
        <w:rPr>
          <w:noProof/>
        </w:rPr>
        <mc:AlternateContent>
          <mc:Choice Requires="wpg">
            <w:drawing>
              <wp:inline distT="0" distB="0" distL="0" distR="0">
                <wp:extent cx="1825752" cy="6096"/>
                <wp:effectExtent l="0" t="0" r="0" b="0"/>
                <wp:docPr id="15285" name="Group 1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6096"/>
                          <a:chOff x="0" y="0"/>
                          <a:chExt cx="1825752" cy="6096"/>
                        </a:xfrm>
                      </wpg:grpSpPr>
                      <wps:wsp>
                        <wps:cNvPr id="17134" name="Shape 17134"/>
                        <wps:cNvSpPr/>
                        <wps:spPr>
                          <a:xfrm>
                            <a:off x="0" y="0"/>
                            <a:ext cx="1825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9144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  <a:lnTo>
                                  <a:pt x="1825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85" style="width:143.76pt;height:0.47998pt;mso-position-horizontal-relative:char;mso-position-vertical-relative:line" coordsize="18257,60">
                <v:shape id="Shape 17135" style="position:absolute;width:18257;height:91;left:0;top:0;" coordsize="1825752,9144" path="m0,0l1825752,0l18257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numPr>
          <w:ilvl w:val="0"/>
          <w:numId w:val="2"/>
        </w:numPr>
        <w:spacing w:after="5" w:line="247" w:lineRule="auto"/>
        <w:ind w:right="-12" w:hanging="10"/>
      </w:pPr>
      <w:r>
        <w:rPr>
          <w:rFonts w:ascii="Times New Roman" w:eastAsia="Times New Roman" w:hAnsi="Times New Roman" w:cs="Times New Roman"/>
          <w:sz w:val="18"/>
        </w:rPr>
        <w:t xml:space="preserve">Este Programa y la clasificación de la modalidad de dictado rige en el contexto de las regulaciones propias de la situación generada por el COVID-19.  </w:t>
      </w:r>
    </w:p>
    <w:p w:rsidR="0002746A" w:rsidRDefault="00BE66C5">
      <w:pPr>
        <w:numPr>
          <w:ilvl w:val="0"/>
          <w:numId w:val="2"/>
        </w:numPr>
        <w:spacing w:after="5" w:line="247" w:lineRule="auto"/>
        <w:ind w:right="-12" w:hanging="10"/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>Modalidad híbrida mediada por TIC</w:t>
      </w:r>
      <w:r>
        <w:rPr>
          <w:rFonts w:ascii="Times New Roman" w:eastAsia="Times New Roman" w:hAnsi="Times New Roman" w:cs="Times New Roman"/>
          <w:sz w:val="18"/>
        </w:rPr>
        <w:t xml:space="preserve">. Se trata de una propuesta en la que se combinan encuentros sincrónicos mediados por tecnologías y propuestas asincrónicas desarrolladas en las plataformas virtuales. </w:t>
      </w:r>
    </w:p>
    <w:p w:rsidR="0002746A" w:rsidRDefault="00BE66C5">
      <w:pPr>
        <w:spacing w:after="5" w:line="247" w:lineRule="auto"/>
        <w:ind w:left="-3" w:right="-12" w:hanging="10"/>
      </w:pPr>
      <w:r>
        <w:rPr>
          <w:rFonts w:ascii="Times New Roman" w:eastAsia="Times New Roman" w:hAnsi="Times New Roman" w:cs="Times New Roman"/>
          <w:b/>
          <w:sz w:val="18"/>
        </w:rPr>
        <w:t>Modalidad híbrida presencial.</w:t>
      </w:r>
      <w:r>
        <w:rPr>
          <w:rFonts w:ascii="Times New Roman" w:eastAsia="Times New Roman" w:hAnsi="Times New Roman" w:cs="Times New Roman"/>
          <w:sz w:val="18"/>
        </w:rPr>
        <w:t xml:space="preserve"> Se trata de una propuesta en la que se plantean encuentro</w:t>
      </w:r>
      <w:r>
        <w:rPr>
          <w:rFonts w:ascii="Times New Roman" w:eastAsia="Times New Roman" w:hAnsi="Times New Roman" w:cs="Times New Roman"/>
          <w:sz w:val="18"/>
        </w:rPr>
        <w:t xml:space="preserve">s presenciales, pero se mantiene la combinación con el trabajo a distancia, mediado por TIC.  </w:t>
      </w:r>
    </w:p>
    <w:tbl>
      <w:tblPr>
        <w:tblStyle w:val="TableGrid"/>
        <w:tblW w:w="8866" w:type="dxa"/>
        <w:tblInd w:w="-99" w:type="dxa"/>
        <w:tblCellMar>
          <w:top w:w="92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8"/>
        <w:gridCol w:w="1872"/>
        <w:gridCol w:w="2986"/>
      </w:tblGrid>
      <w:tr w:rsidR="0002746A">
        <w:trPr>
          <w:trHeight w:val="677"/>
        </w:trPr>
        <w:tc>
          <w:tcPr>
            <w:tcW w:w="4008" w:type="dxa"/>
            <w:tcBorders>
              <w:top w:val="nil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872" w:type="dxa"/>
            <w:tcBorders>
              <w:top w:val="nil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2746A">
        <w:trPr>
          <w:trHeight w:val="456"/>
        </w:trPr>
        <w:tc>
          <w:tcPr>
            <w:tcW w:w="4008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- Orientador del trabajo online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3" w:type="dxa"/>
        <w:tblInd w:w="-96" w:type="dxa"/>
        <w:tblCellMar>
          <w:top w:w="113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4860"/>
      </w:tblGrid>
      <w:tr w:rsidR="0002746A">
        <w:trPr>
          <w:trHeight w:val="644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Referente técnico de la plataforma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numPr>
          <w:ilvl w:val="0"/>
          <w:numId w:val="3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Publicitario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3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1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02746A" w:rsidRDefault="00BE66C5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La publicidad es una forma de comunicación persuasiva aplicando los medios de comunicación, en donde la crea</w:t>
      </w:r>
      <w:r>
        <w:rPr>
          <w:rFonts w:ascii="Times New Roman" w:eastAsia="Times New Roman" w:hAnsi="Times New Roman" w:cs="Times New Roman"/>
          <w:sz w:val="24"/>
        </w:rPr>
        <w:t>tividad es la fuente primera de toda actividad artística y expresiva.  A través de ella se plantean las ideas, reflexiones y análisis. Esta materia aporta al estudiante estrategias creativas y comunicativas que colaboran en su desarrollo profesional. Los p</w:t>
      </w:r>
      <w:r>
        <w:rPr>
          <w:rFonts w:ascii="Times New Roman" w:eastAsia="Times New Roman" w:hAnsi="Times New Roman" w:cs="Times New Roman"/>
          <w:sz w:val="24"/>
        </w:rPr>
        <w:t xml:space="preserve">repara para conocer las etapas de vida de un producto y los mecanismos publicitarios, sus funcionamientos y objetivos, aprendiendo a analizar un </w:t>
      </w:r>
      <w:r>
        <w:rPr>
          <w:rFonts w:ascii="Times New Roman" w:eastAsia="Times New Roman" w:hAnsi="Times New Roman" w:cs="Times New Roman"/>
          <w:i/>
          <w:sz w:val="24"/>
        </w:rPr>
        <w:t>brief</w:t>
      </w:r>
      <w:r>
        <w:rPr>
          <w:rFonts w:ascii="Times New Roman" w:eastAsia="Times New Roman" w:hAnsi="Times New Roman" w:cs="Times New Roman"/>
          <w:sz w:val="24"/>
        </w:rPr>
        <w:t xml:space="preserve"> y entender el rol de cada área dentro de las agencias de publicidad. </w:t>
      </w:r>
    </w:p>
    <w:p w:rsidR="0002746A" w:rsidRDefault="00BE66C5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Estos conceptos teóricos y práctico</w:t>
      </w:r>
      <w:r>
        <w:rPr>
          <w:rFonts w:ascii="Times New Roman" w:eastAsia="Times New Roman" w:hAnsi="Times New Roman" w:cs="Times New Roman"/>
          <w:sz w:val="24"/>
        </w:rPr>
        <w:t>s iniciales facilitan el estudio posterior de asignaturas especializadas y están pensados para futuros profesionales de agencias de publicidad, así como también de empresas anunciantes o proveedoras de esta actividad.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3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21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02746A" w:rsidRDefault="00BE66C5">
      <w:pPr>
        <w:numPr>
          <w:ilvl w:val="0"/>
          <w:numId w:val="4"/>
        </w:numPr>
        <w:spacing w:after="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Conocer de manera introductoria la actividad publicitaria brindando una visión general de todos sus actores y cómo se interrelacionan. </w:t>
      </w:r>
    </w:p>
    <w:p w:rsidR="0002746A" w:rsidRDefault="00BE66C5">
      <w:pPr>
        <w:numPr>
          <w:ilvl w:val="0"/>
          <w:numId w:val="4"/>
        </w:numPr>
        <w:spacing w:after="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Comprender a la publicidad como una de las soluciones posibles a los problemas de comunicación. </w:t>
      </w:r>
    </w:p>
    <w:p w:rsidR="0002746A" w:rsidRDefault="00BE66C5">
      <w:pPr>
        <w:numPr>
          <w:ilvl w:val="0"/>
          <w:numId w:val="4"/>
        </w:numPr>
        <w:spacing w:after="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>Que los alumnos conozca</w:t>
      </w:r>
      <w:r>
        <w:rPr>
          <w:rFonts w:ascii="Times New Roman" w:eastAsia="Times New Roman" w:hAnsi="Times New Roman" w:cs="Times New Roman"/>
          <w:sz w:val="24"/>
        </w:rPr>
        <w:t xml:space="preserve">n y entiendan los roles de cada área en las agencias de publicidad. </w:t>
      </w:r>
    </w:p>
    <w:p w:rsidR="0002746A" w:rsidRDefault="00BE66C5">
      <w:pPr>
        <w:numPr>
          <w:ilvl w:val="0"/>
          <w:numId w:val="4"/>
        </w:numPr>
        <w:spacing w:after="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Conocer las herramientas creativas para la elaboración de las estrategias de comunicación. </w:t>
      </w:r>
    </w:p>
    <w:p w:rsidR="0002746A" w:rsidRDefault="00BE66C5">
      <w:pPr>
        <w:numPr>
          <w:ilvl w:val="0"/>
          <w:numId w:val="4"/>
        </w:numPr>
        <w:spacing w:after="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Conocer las alternativas posibles de desarrollo profesional en el mercado publicitario. </w:t>
      </w:r>
    </w:p>
    <w:p w:rsidR="0002746A" w:rsidRDefault="00BE66C5">
      <w:pPr>
        <w:numPr>
          <w:ilvl w:val="0"/>
          <w:numId w:val="4"/>
        </w:numPr>
        <w:spacing w:after="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>Establ</w:t>
      </w:r>
      <w:r>
        <w:rPr>
          <w:rFonts w:ascii="Times New Roman" w:eastAsia="Times New Roman" w:hAnsi="Times New Roman" w:cs="Times New Roman"/>
          <w:sz w:val="24"/>
        </w:rPr>
        <w:t xml:space="preserve">ecer  bases de conocimiento que serán profundizadas en futuras materias específicas de la carrera.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5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lastRenderedPageBreak/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  <w:ind w:left="2" w:hanging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 </w:t>
      </w:r>
    </w:p>
    <w:tbl>
      <w:tblPr>
        <w:tblStyle w:val="TableGrid"/>
        <w:tblW w:w="8005" w:type="dxa"/>
        <w:tblInd w:w="819" w:type="dxa"/>
        <w:tblCellMar>
          <w:top w:w="48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3"/>
        <w:gridCol w:w="1153"/>
        <w:gridCol w:w="1157"/>
        <w:gridCol w:w="1032"/>
      </w:tblGrid>
      <w:tr w:rsidR="0002746A">
        <w:trPr>
          <w:trHeight w:val="359"/>
        </w:trPr>
        <w:tc>
          <w:tcPr>
            <w:tcW w:w="4663" w:type="dxa"/>
            <w:tcBorders>
              <w:top w:val="nil"/>
              <w:left w:val="nil"/>
              <w:bottom w:val="single" w:sz="4" w:space="0" w:color="6AA74E"/>
              <w:right w:val="single" w:sz="4" w:space="0" w:color="6AA74E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02746A" w:rsidRDefault="00BE66C5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02746A" w:rsidRDefault="00BE66C5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02746A" w:rsidRDefault="00BE66C5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46A">
        <w:trPr>
          <w:trHeight w:val="575"/>
        </w:trPr>
        <w:tc>
          <w:tcPr>
            <w:tcW w:w="466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02746A" w:rsidRDefault="00BE66C5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presencial/presencial remota </w:t>
            </w:r>
            <w:r>
              <w:rPr>
                <w:rFonts w:ascii="Times New Roman" w:eastAsia="Times New Roman" w:hAnsi="Times New Roman" w:cs="Times New Roman"/>
                <w:sz w:val="20"/>
              </w:rPr>
              <w:t>(videoconferencia)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</w:tr>
      <w:tr w:rsidR="0002746A">
        <w:trPr>
          <w:trHeight w:val="580"/>
        </w:trPr>
        <w:tc>
          <w:tcPr>
            <w:tcW w:w="466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a distancia  </w:t>
            </w:r>
          </w:p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</w:tr>
      <w:tr w:rsidR="0002746A">
        <w:trPr>
          <w:trHeight w:val="575"/>
        </w:trPr>
        <w:tc>
          <w:tcPr>
            <w:tcW w:w="466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032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02746A" w:rsidRDefault="00BE66C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5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141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02746A" w:rsidRDefault="00BE66C5">
      <w:pPr>
        <w:spacing w:after="97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UNIDAD I: </w:t>
      </w:r>
      <w:r>
        <w:rPr>
          <w:rFonts w:ascii="Times New Roman" w:eastAsia="Times New Roman" w:hAnsi="Times New Roman" w:cs="Times New Roman"/>
          <w:b/>
          <w:sz w:val="24"/>
        </w:rPr>
        <w:t xml:space="preserve">Introducción a la Publicidad. </w:t>
      </w:r>
    </w:p>
    <w:p w:rsidR="0002746A" w:rsidRDefault="00BE66C5">
      <w:pPr>
        <w:spacing w:after="108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Introducción a la materia. Definiciones. Historia. Definición de publicidad. Publicidad y Propaganda. Su inserción en el campo de las comunicaciones sociales. La publicidad y el marketing. Los elementos que los componen. El </w:t>
      </w:r>
      <w:r>
        <w:rPr>
          <w:rFonts w:ascii="Times New Roman" w:eastAsia="Times New Roman" w:hAnsi="Times New Roman" w:cs="Times New Roman"/>
          <w:i/>
          <w:sz w:val="24"/>
        </w:rPr>
        <w:t>brief</w:t>
      </w:r>
      <w:r>
        <w:rPr>
          <w:rFonts w:ascii="Times New Roman" w:eastAsia="Times New Roman" w:hAnsi="Times New Roman" w:cs="Times New Roman"/>
          <w:sz w:val="24"/>
        </w:rPr>
        <w:t>, definición y ejemplos. An</w:t>
      </w:r>
      <w:r>
        <w:rPr>
          <w:rFonts w:ascii="Times New Roman" w:eastAsia="Times New Roman" w:hAnsi="Times New Roman" w:cs="Times New Roman"/>
          <w:sz w:val="24"/>
        </w:rPr>
        <w:t>álisis de procesos de comunicación publicitaria. Estructura de la industria publicitaria: anunciantes, medios, consultoras, centrales de medios, productoras de cine, de música y diseño de sonido, distintos proveedores. Cómo se elige una agencia. Los concur</w:t>
      </w:r>
      <w:r>
        <w:rPr>
          <w:rFonts w:ascii="Times New Roman" w:eastAsia="Times New Roman" w:hAnsi="Times New Roman" w:cs="Times New Roman"/>
          <w:sz w:val="24"/>
        </w:rPr>
        <w:t xml:space="preserve">sos o pitches. Asignaciones directas. La contratación de un </w:t>
      </w:r>
      <w:r>
        <w:rPr>
          <w:rFonts w:ascii="Times New Roman" w:eastAsia="Times New Roman" w:hAnsi="Times New Roman" w:cs="Times New Roman"/>
          <w:i/>
          <w:sz w:val="24"/>
        </w:rPr>
        <w:t>free-lance</w:t>
      </w:r>
      <w:r>
        <w:rPr>
          <w:rFonts w:ascii="Times New Roman" w:eastAsia="Times New Roman" w:hAnsi="Times New Roman" w:cs="Times New Roman"/>
          <w:sz w:val="24"/>
        </w:rPr>
        <w:t xml:space="preserve">. Los </w:t>
      </w:r>
      <w:r>
        <w:rPr>
          <w:rFonts w:ascii="Times New Roman" w:eastAsia="Times New Roman" w:hAnsi="Times New Roman" w:cs="Times New Roman"/>
          <w:i/>
          <w:sz w:val="24"/>
        </w:rPr>
        <w:t>review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76" w:line="25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Bibliografía obligatoria: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122" w:line="249" w:lineRule="auto"/>
        <w:ind w:left="-5" w:hanging="8"/>
      </w:pPr>
      <w:r>
        <w:rPr>
          <w:rFonts w:ascii="Times New Roman" w:eastAsia="Times New Roman" w:hAnsi="Times New Roman" w:cs="Times New Roman"/>
        </w:rPr>
        <w:t>Billorou, Pedro Oscar, (2001</w:t>
      </w:r>
      <w:r>
        <w:rPr>
          <w:rFonts w:ascii="Times New Roman" w:eastAsia="Times New Roman" w:hAnsi="Times New Roman" w:cs="Times New Roman"/>
          <w:i/>
        </w:rPr>
        <w:t>). Introducción a la Publicidad</w:t>
      </w:r>
      <w:r>
        <w:rPr>
          <w:rFonts w:ascii="Times New Roman" w:eastAsia="Times New Roman" w:hAnsi="Times New Roman" w:cs="Times New Roman"/>
        </w:rPr>
        <w:t xml:space="preserve">. El Ateneo. Buenos Aires. </w:t>
      </w:r>
    </w:p>
    <w:p w:rsidR="0002746A" w:rsidRDefault="00BE66C5">
      <w:pPr>
        <w:spacing w:after="1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97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UNIDAD 2: </w:t>
      </w:r>
      <w:r>
        <w:rPr>
          <w:rFonts w:ascii="Times New Roman" w:eastAsia="Times New Roman" w:hAnsi="Times New Roman" w:cs="Times New Roman"/>
          <w:b/>
          <w:sz w:val="24"/>
        </w:rPr>
        <w:t xml:space="preserve">Publicidad, arte y economía de mercado. </w:t>
      </w:r>
    </w:p>
    <w:p w:rsidR="0002746A" w:rsidRDefault="00BE66C5">
      <w:pPr>
        <w:spacing w:after="108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El arte y su aporte en la publicidad. Principales acontecimientos de la historia de la publicidad argentina e internacional. Semblanza de los grandes referentes de la publicidad nacional e internacional. Revisión y análisis de campañas históricas de la pub</w:t>
      </w:r>
      <w:r>
        <w:rPr>
          <w:rFonts w:ascii="Times New Roman" w:eastAsia="Times New Roman" w:hAnsi="Times New Roman" w:cs="Times New Roman"/>
          <w:sz w:val="24"/>
        </w:rPr>
        <w:t>licidad argentina e internacional. Campañas racionales y emocionales. El desafío de mantener una campaña  en el tiempo. Campañas comerciales, institucionales, políticas y de bien público. Publicidad local versus publicidad global. El desafío de las diferen</w:t>
      </w:r>
      <w:r>
        <w:rPr>
          <w:rFonts w:ascii="Times New Roman" w:eastAsia="Times New Roman" w:hAnsi="Times New Roman" w:cs="Times New Roman"/>
          <w:sz w:val="24"/>
        </w:rPr>
        <w:t xml:space="preserve">tes culturas. Los </w:t>
      </w:r>
      <w:r>
        <w:rPr>
          <w:rFonts w:ascii="Times New Roman" w:eastAsia="Times New Roman" w:hAnsi="Times New Roman" w:cs="Times New Roman"/>
          <w:i/>
          <w:sz w:val="24"/>
        </w:rPr>
        <w:t>patterns</w:t>
      </w:r>
      <w:r>
        <w:rPr>
          <w:rFonts w:ascii="Times New Roman" w:eastAsia="Times New Roman" w:hAnsi="Times New Roman" w:cs="Times New Roman"/>
          <w:sz w:val="24"/>
        </w:rPr>
        <w:t xml:space="preserve">. Las marcas. La importancia decisiva de una buena marca. Ventajas diferenciales. Determinación del target. Proceso para el lanzamiento de una campaña de televisión.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2746A" w:rsidRDefault="00BE66C5">
      <w:pPr>
        <w:spacing w:after="96" w:line="25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Bibliografía obligatoria: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1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Aprile, Orlando, (2009) </w:t>
      </w:r>
      <w:r>
        <w:rPr>
          <w:rFonts w:ascii="Times New Roman" w:eastAsia="Times New Roman" w:hAnsi="Times New Roman" w:cs="Times New Roman"/>
          <w:i/>
          <w:sz w:val="24"/>
        </w:rPr>
        <w:t>La publici</w:t>
      </w:r>
      <w:r>
        <w:rPr>
          <w:rFonts w:ascii="Times New Roman" w:eastAsia="Times New Roman" w:hAnsi="Times New Roman" w:cs="Times New Roman"/>
          <w:i/>
          <w:sz w:val="24"/>
        </w:rPr>
        <w:t>dad cuenta su historia</w:t>
      </w:r>
      <w:r>
        <w:rPr>
          <w:rFonts w:ascii="Times New Roman" w:eastAsia="Times New Roman" w:hAnsi="Times New Roman" w:cs="Times New Roman"/>
          <w:sz w:val="24"/>
        </w:rPr>
        <w:t xml:space="preserve">. La Crujía. Buenos Aires. </w:t>
      </w:r>
    </w:p>
    <w:p w:rsidR="0002746A" w:rsidRDefault="00BE66C5">
      <w:pPr>
        <w:spacing w:after="105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Aprile, Orlando, (2012) </w:t>
      </w:r>
      <w:r>
        <w:rPr>
          <w:rFonts w:ascii="Times New Roman" w:eastAsia="Times New Roman" w:hAnsi="Times New Roman" w:cs="Times New Roman"/>
          <w:i/>
          <w:sz w:val="24"/>
        </w:rPr>
        <w:t>La publicidad puesta al día</w:t>
      </w:r>
      <w:r>
        <w:rPr>
          <w:rFonts w:ascii="Times New Roman" w:eastAsia="Times New Roman" w:hAnsi="Times New Roman" w:cs="Times New Roman"/>
          <w:sz w:val="24"/>
        </w:rPr>
        <w:t xml:space="preserve">. La Crujía. Buenos Aires. </w:t>
      </w:r>
    </w:p>
    <w:p w:rsidR="0002746A" w:rsidRDefault="00BE66C5">
      <w:pPr>
        <w:spacing w:after="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116" w:line="25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UNIDAD 3: Proceso publicitario. </w:t>
      </w:r>
    </w:p>
    <w:p w:rsidR="0002746A" w:rsidRDefault="00BE66C5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Proceso de la comunicación publicitaria. Aportes disciplinarios al desarrollo de la publicid</w:t>
      </w:r>
      <w:r>
        <w:rPr>
          <w:rFonts w:ascii="Times New Roman" w:eastAsia="Times New Roman" w:hAnsi="Times New Roman" w:cs="Times New Roman"/>
          <w:sz w:val="24"/>
        </w:rPr>
        <w:t xml:space="preserve">ad (retórica, semiótica, estética, psicología). Colores: qué tener en cuenta a la hora de elegirlos. El concepto. El eslogan: definición y ejemplos argentinos e internacionales. Eslóganes exclusivos, no generales, cortos y largos. Los </w:t>
      </w:r>
      <w:r>
        <w:rPr>
          <w:rFonts w:ascii="Times New Roman" w:eastAsia="Times New Roman" w:hAnsi="Times New Roman" w:cs="Times New Roman"/>
          <w:i/>
          <w:sz w:val="24"/>
        </w:rPr>
        <w:t>insights</w:t>
      </w:r>
      <w:r>
        <w:rPr>
          <w:rFonts w:ascii="Times New Roman" w:eastAsia="Times New Roman" w:hAnsi="Times New Roman" w:cs="Times New Roman"/>
          <w:sz w:val="24"/>
        </w:rPr>
        <w:t xml:space="preserve">. Los </w:t>
      </w:r>
      <w:r>
        <w:rPr>
          <w:rFonts w:ascii="Times New Roman" w:eastAsia="Times New Roman" w:hAnsi="Times New Roman" w:cs="Times New Roman"/>
          <w:i/>
          <w:sz w:val="24"/>
        </w:rPr>
        <w:t>propert</w:t>
      </w:r>
      <w:r>
        <w:rPr>
          <w:rFonts w:ascii="Times New Roman" w:eastAsia="Times New Roman" w:hAnsi="Times New Roman" w:cs="Times New Roman"/>
          <w:i/>
          <w:sz w:val="24"/>
        </w:rPr>
        <w:t>ies</w:t>
      </w:r>
      <w:r>
        <w:rPr>
          <w:rFonts w:ascii="Times New Roman" w:eastAsia="Times New Roman" w:hAnsi="Times New Roman" w:cs="Times New Roman"/>
          <w:sz w:val="24"/>
        </w:rPr>
        <w:t>. Los PNT's.  La música en la publicidad: jingles, bandas de música original, temas preexistentes. Los covers y sound a like. Gestión de derechos editoriales y fonográficos. Medios de comunicación (above the line; ATL, belowe the line; BTL, trough the l</w:t>
      </w:r>
      <w:r>
        <w:rPr>
          <w:rFonts w:ascii="Times New Roman" w:eastAsia="Times New Roman" w:hAnsi="Times New Roman" w:cs="Times New Roman"/>
          <w:sz w:val="24"/>
        </w:rPr>
        <w:t xml:space="preserve">ine; TTL). ¿Dónde encuentro a mi target? Los medios gráficos, audiovisuales y tradicionales. Formas de comercialización. El peligro del clutter (amontonamiento de anuncios).  </w:t>
      </w:r>
    </w:p>
    <w:p w:rsidR="0002746A" w:rsidRDefault="00BE66C5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Duración de los comerciales y de las tandas. Características del brainstorming. </w:t>
      </w:r>
    </w:p>
    <w:p w:rsidR="0002746A" w:rsidRDefault="00BE66C5">
      <w:pPr>
        <w:spacing w:after="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9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Bibliografía obligatoria </w:t>
      </w:r>
    </w:p>
    <w:p w:rsidR="0002746A" w:rsidRDefault="00BE66C5">
      <w:pPr>
        <w:numPr>
          <w:ilvl w:val="0"/>
          <w:numId w:val="6"/>
        </w:numPr>
        <w:spacing w:after="122" w:line="249" w:lineRule="auto"/>
        <w:ind w:hanging="140"/>
        <w:jc w:val="both"/>
      </w:pPr>
      <w:r>
        <w:rPr>
          <w:rFonts w:ascii="Times New Roman" w:eastAsia="Times New Roman" w:hAnsi="Times New Roman" w:cs="Times New Roman"/>
        </w:rPr>
        <w:t xml:space="preserve">Billorou, Pedro Oscar, (2001). Introducción a la Publicidad. El Ateneo. Buenos Aires. </w:t>
      </w:r>
    </w:p>
    <w:p w:rsidR="0002746A" w:rsidRDefault="00BE66C5">
      <w:pPr>
        <w:numPr>
          <w:ilvl w:val="0"/>
          <w:numId w:val="6"/>
        </w:numPr>
        <w:spacing w:after="108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Bonta, Patricio y Farber, Mario, (1195) "199 preguntas sobre marketing y publicidad", Grupo Editorial Norma, Buenos Aires. </w:t>
      </w:r>
    </w:p>
    <w:p w:rsidR="0002746A" w:rsidRDefault="00BE66C5">
      <w:pPr>
        <w:numPr>
          <w:ilvl w:val="0"/>
          <w:numId w:val="6"/>
        </w:numPr>
        <w:spacing w:after="110" w:line="248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Scopesi, Alberto (2007) "Publicidad, ámala o déjala", Ediciones Macchi, Buenos Aires. </w:t>
      </w:r>
    </w:p>
    <w:p w:rsidR="0002746A" w:rsidRDefault="00BE66C5">
      <w:pPr>
        <w:spacing w:after="7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746A" w:rsidRDefault="00BE66C5">
      <w:pPr>
        <w:spacing w:after="9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116" w:line="25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UNIDAD 4: Las agencias de publicidad. </w:t>
      </w:r>
    </w:p>
    <w:p w:rsidR="0002746A" w:rsidRDefault="00BE66C5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Cómo se forma una agencia de publicidad. Qué es una boutique creativa. Funciones en la publicidad. Organigrama de una agencia </w:t>
      </w:r>
      <w:r>
        <w:rPr>
          <w:rFonts w:ascii="Times New Roman" w:eastAsia="Times New Roman" w:hAnsi="Times New Roman" w:cs="Times New Roman"/>
          <w:sz w:val="24"/>
        </w:rPr>
        <w:t xml:space="preserve">de publicidad tradicional. Organigrama de una agencia de publicidad actual. Roles y actores de la comunicación publicitaria. Estilos. Casos de estudio.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96" w:line="25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Bibliografía obligatoria: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46A" w:rsidRDefault="00BE66C5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Ogilvy, David, (1984) </w:t>
      </w:r>
      <w:r>
        <w:rPr>
          <w:rFonts w:ascii="Times New Roman" w:eastAsia="Times New Roman" w:hAnsi="Times New Roman" w:cs="Times New Roman"/>
          <w:i/>
          <w:sz w:val="24"/>
        </w:rPr>
        <w:t>Ogilvy y publicidad</w:t>
      </w:r>
      <w:r>
        <w:rPr>
          <w:rFonts w:ascii="Times New Roman" w:eastAsia="Times New Roman" w:hAnsi="Times New Roman" w:cs="Times New Roman"/>
          <w:sz w:val="24"/>
        </w:rPr>
        <w:t xml:space="preserve">. Folio. Barcelona, España.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Wilhelm, Sebastián (2000) Lo que estás leyendo…, Grupo Editorial Norma. Buenos Aires.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tabs>
          <w:tab w:val="center" w:pos="1621"/>
        </w:tabs>
        <w:spacing w:after="4" w:line="256" w:lineRule="auto"/>
        <w:ind w:left="-15"/>
      </w:pPr>
      <w:r>
        <w:rPr>
          <w:rFonts w:ascii="Times New Roman" w:eastAsia="Times New Roman" w:hAnsi="Times New Roman" w:cs="Times New Roman"/>
          <w:b/>
          <w:color w:val="4A442A"/>
          <w:sz w:val="24"/>
        </w:rPr>
        <w:t>3.</w:t>
      </w:r>
      <w:r>
        <w:rPr>
          <w:rFonts w:ascii="Arial" w:eastAsia="Arial" w:hAnsi="Arial" w:cs="Arial"/>
          <w:b/>
          <w:color w:val="4A442A"/>
          <w:sz w:val="24"/>
        </w:rPr>
        <w:t xml:space="preserve"> </w:t>
      </w:r>
      <w:r>
        <w:rPr>
          <w:rFonts w:ascii="Arial" w:eastAsia="Arial" w:hAnsi="Arial" w:cs="Arial"/>
          <w:b/>
          <w:color w:val="4A442A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7"/>
        </w:numPr>
        <w:spacing w:after="5" w:line="249" w:lineRule="auto"/>
        <w:ind w:hanging="722"/>
      </w:pPr>
      <w:r>
        <w:rPr>
          <w:rFonts w:ascii="Times New Roman" w:eastAsia="Times New Roman" w:hAnsi="Times New Roman" w:cs="Times New Roman"/>
        </w:rPr>
        <w:t xml:space="preserve">En el entorno presencial o presencial remoto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Los alumnos aprenderán los conceptos básicos de la profesión, como asimismo el entorno laboral y social que influyen en la creación y desarrollo de campañas relevantes.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7"/>
        </w:numPr>
        <w:spacing w:after="5" w:line="249" w:lineRule="auto"/>
        <w:ind w:hanging="722"/>
      </w:pPr>
      <w:r>
        <w:rPr>
          <w:rFonts w:ascii="Times New Roman" w:eastAsia="Times New Roman" w:hAnsi="Times New Roman" w:cs="Times New Roman"/>
        </w:rPr>
        <w:t xml:space="preserve">En el entorno virtual asincrónico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>Los alumnos realizarán diversos trabajos prácti</w:t>
      </w:r>
      <w:r>
        <w:rPr>
          <w:rFonts w:ascii="Times New Roman" w:eastAsia="Times New Roman" w:hAnsi="Times New Roman" w:cs="Times New Roman"/>
        </w:rPr>
        <w:t xml:space="preserve">cos individuales y grupales, durante la clase o en sus domicilios, que deberán ser entregados en las fechas establecidas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tabs>
          <w:tab w:val="center" w:pos="3745"/>
        </w:tabs>
        <w:spacing w:after="4" w:line="256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02746A" w:rsidRDefault="00BE66C5">
      <w:pPr>
        <w:spacing w:after="3" w:line="252" w:lineRule="auto"/>
        <w:ind w:left="-3" w:hanging="10"/>
      </w:pPr>
      <w:r>
        <w:rPr>
          <w:rFonts w:ascii="Arial" w:eastAsia="Arial" w:hAnsi="Arial" w:cs="Arial"/>
          <w:color w:val="4A442A"/>
        </w:rPr>
        <w:t xml:space="preserve">Modulo 1 </w:t>
      </w:r>
    </w:p>
    <w:p w:rsidR="0002746A" w:rsidRDefault="00BE66C5">
      <w:pPr>
        <w:spacing w:after="0" w:line="242" w:lineRule="auto"/>
        <w:ind w:left="2" w:hanging="2"/>
      </w:pPr>
      <w:r>
        <w:rPr>
          <w:rFonts w:ascii="Arial" w:eastAsia="Arial" w:hAnsi="Arial" w:cs="Arial"/>
          <w:color w:val="4A442A"/>
        </w:rPr>
        <w:t xml:space="preserve">Actividad: </w:t>
      </w:r>
      <w:r>
        <w:rPr>
          <w:rFonts w:ascii="Times New Roman" w:eastAsia="Times New Roman" w:hAnsi="Times New Roman" w:cs="Times New Roman"/>
          <w:sz w:val="24"/>
        </w:rPr>
        <w:t xml:space="preserve">Los alumnos seleccionarán 3 avisos publicitarios que les gusten no por las características de la marca o el producto, sino por los valorese ideales que plantea. Es decir, las variables blandas del consumidor potencial. </w:t>
      </w:r>
    </w:p>
    <w:p w:rsidR="0002746A" w:rsidRDefault="00BE66C5">
      <w:pPr>
        <w:spacing w:after="0"/>
        <w:ind w:left="2"/>
      </w:pPr>
      <w:r>
        <w:rPr>
          <w:rFonts w:ascii="Arial" w:eastAsia="Arial" w:hAnsi="Arial" w:cs="Arial"/>
          <w:color w:val="4A442A"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Arial" w:eastAsia="Arial" w:hAnsi="Arial" w:cs="Arial"/>
          <w:color w:val="4A442A"/>
        </w:rPr>
        <w:t xml:space="preserve"> </w:t>
      </w:r>
    </w:p>
    <w:p w:rsidR="0002746A" w:rsidRDefault="00BE66C5">
      <w:pPr>
        <w:spacing w:after="3" w:line="252" w:lineRule="auto"/>
        <w:ind w:left="-3" w:hanging="10"/>
      </w:pPr>
      <w:r>
        <w:rPr>
          <w:rFonts w:ascii="Arial" w:eastAsia="Arial" w:hAnsi="Arial" w:cs="Arial"/>
          <w:color w:val="4A442A"/>
        </w:rPr>
        <w:t xml:space="preserve">Modulo 2 </w:t>
      </w:r>
    </w:p>
    <w:p w:rsidR="0002746A" w:rsidRDefault="00BE66C5">
      <w:pPr>
        <w:spacing w:after="3" w:line="252" w:lineRule="auto"/>
        <w:ind w:left="-3" w:hanging="10"/>
      </w:pPr>
      <w:r>
        <w:rPr>
          <w:rFonts w:ascii="Arial" w:eastAsia="Arial" w:hAnsi="Arial" w:cs="Arial"/>
          <w:color w:val="4A442A"/>
        </w:rPr>
        <w:t>Actividad: Realizar un</w:t>
      </w:r>
      <w:r>
        <w:rPr>
          <w:rFonts w:ascii="Arial" w:eastAsia="Arial" w:hAnsi="Arial" w:cs="Arial"/>
          <w:color w:val="4A442A"/>
        </w:rPr>
        <w:t xml:space="preserve">a pieza publicitaria según el método de la dupla creativa, en base a un caso real de marca plasmado en un brief creativo. </w:t>
      </w:r>
    </w:p>
    <w:p w:rsidR="0002746A" w:rsidRDefault="00BE66C5">
      <w:pPr>
        <w:spacing w:after="0"/>
        <w:ind w:left="2"/>
      </w:pPr>
      <w:r>
        <w:rPr>
          <w:rFonts w:ascii="Arial" w:eastAsia="Arial" w:hAnsi="Arial" w:cs="Arial"/>
          <w:color w:val="4A442A"/>
        </w:rPr>
        <w:t xml:space="preserve"> </w:t>
      </w:r>
    </w:p>
    <w:p w:rsidR="0002746A" w:rsidRDefault="00BE66C5">
      <w:pPr>
        <w:spacing w:after="3" w:line="252" w:lineRule="auto"/>
        <w:ind w:left="-3" w:hanging="10"/>
      </w:pPr>
      <w:r>
        <w:rPr>
          <w:rFonts w:ascii="Arial" w:eastAsia="Arial" w:hAnsi="Arial" w:cs="Arial"/>
          <w:color w:val="4A442A"/>
        </w:rPr>
        <w:t xml:space="preserve">Modulo 3 </w:t>
      </w:r>
    </w:p>
    <w:p w:rsidR="0002746A" w:rsidRDefault="00BE66C5">
      <w:pPr>
        <w:spacing w:after="3" w:line="252" w:lineRule="auto"/>
        <w:ind w:left="-3" w:hanging="10"/>
      </w:pPr>
      <w:r>
        <w:rPr>
          <w:rFonts w:ascii="Arial" w:eastAsia="Arial" w:hAnsi="Arial" w:cs="Arial"/>
          <w:color w:val="4A442A"/>
        </w:rPr>
        <w:t>Actividad: Realizar una pieza publicitaria según el método de la dupla creativa, en base a un caso real de marca plasmado</w:t>
      </w:r>
      <w:r>
        <w:rPr>
          <w:rFonts w:ascii="Arial" w:eastAsia="Arial" w:hAnsi="Arial" w:cs="Arial"/>
          <w:color w:val="4A442A"/>
        </w:rPr>
        <w:t xml:space="preserve"> en un brief creativo </w:t>
      </w:r>
    </w:p>
    <w:p w:rsidR="0002746A" w:rsidRDefault="00BE66C5">
      <w:pPr>
        <w:spacing w:after="0"/>
        <w:ind w:left="2"/>
      </w:pPr>
      <w:r>
        <w:rPr>
          <w:rFonts w:ascii="Arial" w:eastAsia="Arial" w:hAnsi="Arial" w:cs="Arial"/>
        </w:rPr>
        <w:t xml:space="preserve"> </w:t>
      </w:r>
    </w:p>
    <w:p w:rsidR="0002746A" w:rsidRDefault="00BE66C5">
      <w:pPr>
        <w:spacing w:after="4" w:line="250" w:lineRule="auto"/>
        <w:ind w:left="-3" w:hanging="10"/>
      </w:pPr>
      <w:r>
        <w:rPr>
          <w:rFonts w:ascii="Arial" w:eastAsia="Arial" w:hAnsi="Arial" w:cs="Arial"/>
        </w:rPr>
        <w:t xml:space="preserve">Modulo 4 </w:t>
      </w:r>
    </w:p>
    <w:p w:rsidR="0002746A" w:rsidRDefault="00BE66C5">
      <w:pPr>
        <w:spacing w:after="4" w:line="250" w:lineRule="auto"/>
        <w:ind w:left="-3" w:hanging="10"/>
      </w:pPr>
      <w:r>
        <w:rPr>
          <w:rFonts w:ascii="Arial" w:eastAsia="Arial" w:hAnsi="Arial" w:cs="Arial"/>
        </w:rPr>
        <w:t>Actividad: Realizar piezas publicitarias según los métodos de construcción vistos, y acorde a los nuevos modelos de comunicación social, atendiendo a temáticas de igualdad, feminismo, conciencia social y/o cuidado del med</w:t>
      </w:r>
      <w:r>
        <w:rPr>
          <w:rFonts w:ascii="Arial" w:eastAsia="Arial" w:hAnsi="Arial" w:cs="Arial"/>
        </w:rPr>
        <w:t xml:space="preserve">io ambiente.  </w:t>
      </w:r>
    </w:p>
    <w:p w:rsidR="0002746A" w:rsidRDefault="00BE66C5">
      <w:pPr>
        <w:spacing w:after="0"/>
        <w:ind w:left="2"/>
      </w:pPr>
      <w:r>
        <w:rPr>
          <w:rFonts w:ascii="Arial" w:eastAsia="Arial" w:hAnsi="Arial" w:cs="Arial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numPr>
          <w:ilvl w:val="0"/>
          <w:numId w:val="8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8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02746A" w:rsidRDefault="00BE66C5">
      <w:pPr>
        <w:spacing w:after="4" w:line="250" w:lineRule="auto"/>
        <w:ind w:left="-3" w:hanging="10"/>
      </w:pPr>
      <w:r>
        <w:rPr>
          <w:rFonts w:ascii="Arial" w:eastAsia="Arial" w:hAnsi="Arial" w:cs="Arial"/>
        </w:rPr>
        <w:t>Seguimiento semanal de cada trabajo práctico dado, como así también  lugares de consulta y debate en el entorno on line.</w:t>
      </w:r>
      <w:r>
        <w:rPr>
          <w:rFonts w:ascii="Arial" w:eastAsia="Arial" w:hAnsi="Arial" w:cs="Arial"/>
          <w:color w:val="4A442A"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numPr>
          <w:ilvl w:val="0"/>
          <w:numId w:val="8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4" w:line="250" w:lineRule="auto"/>
        <w:ind w:left="-3" w:right="2026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Arial" w:eastAsia="Arial" w:hAnsi="Arial" w:cs="Arial"/>
        </w:rPr>
        <w:t xml:space="preserve">La materia consta de las siguientes instancias necesarias para su aprobación: </w:t>
      </w:r>
    </w:p>
    <w:p w:rsidR="0002746A" w:rsidRDefault="00BE66C5">
      <w:pPr>
        <w:spacing w:after="168"/>
      </w:pPr>
      <w:r>
        <w:rPr>
          <w:rFonts w:ascii="Arial" w:eastAsia="Arial" w:hAnsi="Arial" w:cs="Arial"/>
          <w:sz w:val="10"/>
        </w:rPr>
        <w:t xml:space="preserve"> </w:t>
      </w:r>
    </w:p>
    <w:p w:rsidR="0002746A" w:rsidRDefault="00BE66C5">
      <w:pPr>
        <w:numPr>
          <w:ilvl w:val="0"/>
          <w:numId w:val="9"/>
        </w:numPr>
        <w:spacing w:after="4" w:line="250" w:lineRule="auto"/>
        <w:ind w:hanging="362"/>
      </w:pPr>
      <w:r>
        <w:rPr>
          <w:rFonts w:ascii="Arial" w:eastAsia="Arial" w:hAnsi="Arial" w:cs="Arial"/>
        </w:rPr>
        <w:t xml:space="preserve">Un parcial escrito sobre los contenidos teóricos en la mitad del cuatrimestre, de nota numérica. </w:t>
      </w:r>
    </w:p>
    <w:p w:rsidR="0002746A" w:rsidRDefault="00BE66C5">
      <w:pPr>
        <w:spacing w:after="168"/>
      </w:pPr>
      <w:r>
        <w:rPr>
          <w:rFonts w:ascii="Arial" w:eastAsia="Arial" w:hAnsi="Arial" w:cs="Arial"/>
          <w:sz w:val="10"/>
        </w:rPr>
        <w:t xml:space="preserve"> </w:t>
      </w:r>
    </w:p>
    <w:p w:rsidR="0002746A" w:rsidRDefault="00BE66C5">
      <w:pPr>
        <w:numPr>
          <w:ilvl w:val="0"/>
          <w:numId w:val="9"/>
        </w:numPr>
        <w:spacing w:after="114" w:line="250" w:lineRule="auto"/>
        <w:ind w:hanging="362"/>
      </w:pPr>
      <w:r>
        <w:rPr>
          <w:rFonts w:ascii="Arial" w:eastAsia="Arial" w:hAnsi="Arial" w:cs="Arial"/>
          <w:i/>
        </w:rPr>
        <w:t>Trabajos prácticos</w:t>
      </w:r>
      <w:r>
        <w:rPr>
          <w:rFonts w:ascii="Arial" w:eastAsia="Arial" w:hAnsi="Arial" w:cs="Arial"/>
        </w:rPr>
        <w:t xml:space="preserve"> de resolución de los estudios de caso, con nota. </w:t>
      </w:r>
    </w:p>
    <w:p w:rsidR="0002746A" w:rsidRDefault="00BE66C5">
      <w:pPr>
        <w:numPr>
          <w:ilvl w:val="0"/>
          <w:numId w:val="9"/>
        </w:numPr>
        <w:spacing w:after="4" w:line="358" w:lineRule="auto"/>
        <w:ind w:hanging="362"/>
      </w:pPr>
      <w:r>
        <w:rPr>
          <w:rFonts w:ascii="Arial" w:eastAsia="Arial" w:hAnsi="Arial" w:cs="Arial"/>
          <w:i/>
        </w:rPr>
        <w:t>Trabajo práctico integrador</w:t>
      </w:r>
      <w:r>
        <w:rPr>
          <w:rFonts w:ascii="Arial" w:eastAsia="Arial" w:hAnsi="Arial" w:cs="Arial"/>
        </w:rPr>
        <w:t xml:space="preserve">, consistente en el diseño de una campaña integral de desarrollo de producto, con plan de marketing completo. </w:t>
      </w:r>
    </w:p>
    <w:p w:rsidR="0002746A" w:rsidRDefault="00BE66C5">
      <w:pPr>
        <w:spacing w:after="110"/>
        <w:ind w:left="2"/>
      </w:pPr>
      <w:r>
        <w:rPr>
          <w:rFonts w:ascii="Arial" w:eastAsia="Arial" w:hAnsi="Arial" w:cs="Arial"/>
        </w:rPr>
        <w:t xml:space="preserve"> </w:t>
      </w:r>
    </w:p>
    <w:p w:rsidR="0002746A" w:rsidRDefault="00BE66C5">
      <w:pPr>
        <w:numPr>
          <w:ilvl w:val="0"/>
          <w:numId w:val="9"/>
        </w:numPr>
        <w:spacing w:after="90" w:line="250" w:lineRule="auto"/>
        <w:ind w:hanging="362"/>
      </w:pPr>
      <w:r>
        <w:rPr>
          <w:rFonts w:ascii="Arial" w:eastAsia="Arial" w:hAnsi="Arial" w:cs="Arial"/>
        </w:rPr>
        <w:t xml:space="preserve">El 75 % de la asistencia a las clases de la materia.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10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Benn, Alec, (1982) </w:t>
      </w:r>
      <w:r>
        <w:rPr>
          <w:rFonts w:ascii="Times New Roman" w:eastAsia="Times New Roman" w:hAnsi="Times New Roman" w:cs="Times New Roman"/>
          <w:i/>
        </w:rPr>
        <w:t>Los 27 errores más comunes en publicidad</w:t>
      </w:r>
      <w:r>
        <w:rPr>
          <w:rFonts w:ascii="Times New Roman" w:eastAsia="Times New Roman" w:hAnsi="Times New Roman" w:cs="Times New Roman"/>
        </w:rPr>
        <w:t xml:space="preserve">. Grupo Editorial Norma. Buenos Aires.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Dupont, Luc (2013) "1.001 trucos publicitarios", Masterclass, un sello de www.ronbinkook.com). </w:t>
      </w:r>
    </w:p>
    <w:p w:rsidR="0002746A" w:rsidRDefault="00BE66C5">
      <w:pPr>
        <w:spacing w:after="5" w:line="249" w:lineRule="auto"/>
        <w:ind w:left="-5" w:right="2150" w:hanging="8"/>
      </w:pPr>
      <w:r>
        <w:rPr>
          <w:rFonts w:ascii="Times New Roman" w:eastAsia="Times New Roman" w:hAnsi="Times New Roman" w:cs="Times New Roman"/>
        </w:rPr>
        <w:t>Moliné, Marc (s/f). La fuerza de la publicidad. Recuperado de:  http://www.molin</w:t>
      </w:r>
      <w:r>
        <w:rPr>
          <w:rFonts w:ascii="Times New Roman" w:eastAsia="Times New Roman" w:hAnsi="Times New Roman" w:cs="Times New Roman"/>
        </w:rPr>
        <w:t xml:space="preserve">e-consulting.com/la_fuerza_de_la_publicidad/flash.html#/14/ Ries, Al y Trout, Jack. (1993) </w:t>
      </w:r>
      <w:r>
        <w:rPr>
          <w:rFonts w:ascii="Times New Roman" w:eastAsia="Times New Roman" w:hAnsi="Times New Roman" w:cs="Times New Roman"/>
          <w:i/>
        </w:rPr>
        <w:t>Posicionamiento</w:t>
      </w:r>
      <w:r>
        <w:rPr>
          <w:rFonts w:ascii="Times New Roman" w:eastAsia="Times New Roman" w:hAnsi="Times New Roman" w:cs="Times New Roman"/>
        </w:rPr>
        <w:t xml:space="preserve">. McGraw-Hill. Madrid. España.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Ries, Al y Trout, Jack. (1997) </w:t>
      </w:r>
      <w:r>
        <w:rPr>
          <w:rFonts w:ascii="Times New Roman" w:eastAsia="Times New Roman" w:hAnsi="Times New Roman" w:cs="Times New Roman"/>
          <w:i/>
        </w:rPr>
        <w:t>Marketing de guerra</w:t>
      </w:r>
      <w:r>
        <w:rPr>
          <w:rFonts w:ascii="Times New Roman" w:eastAsia="Times New Roman" w:hAnsi="Times New Roman" w:cs="Times New Roman"/>
        </w:rPr>
        <w:t xml:space="preserve">. McGraw-Hill. Madrid. España.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Toscani, Oliviero. (1996) </w:t>
      </w:r>
      <w:r>
        <w:rPr>
          <w:rFonts w:ascii="Times New Roman" w:eastAsia="Times New Roman" w:hAnsi="Times New Roman" w:cs="Times New Roman"/>
          <w:i/>
        </w:rPr>
        <w:t>Adios a la</w:t>
      </w:r>
      <w:r>
        <w:rPr>
          <w:rFonts w:ascii="Times New Roman" w:eastAsia="Times New Roman" w:hAnsi="Times New Roman" w:cs="Times New Roman"/>
          <w:i/>
        </w:rPr>
        <w:t xml:space="preserve"> publicidad</w:t>
      </w:r>
      <w:r>
        <w:rPr>
          <w:rFonts w:ascii="Times New Roman" w:eastAsia="Times New Roman" w:hAnsi="Times New Roman" w:cs="Times New Roman"/>
        </w:rPr>
        <w:t xml:space="preserve">. Omega. Barcelona. España. </w:t>
      </w:r>
    </w:p>
    <w:p w:rsidR="0002746A" w:rsidRDefault="00BE66C5">
      <w:pPr>
        <w:spacing w:after="5" w:line="249" w:lineRule="auto"/>
        <w:ind w:left="-5" w:hanging="8"/>
      </w:pPr>
      <w:r>
        <w:rPr>
          <w:rFonts w:ascii="Times New Roman" w:eastAsia="Times New Roman" w:hAnsi="Times New Roman" w:cs="Times New Roman"/>
        </w:rPr>
        <w:t xml:space="preserve">Fontanarrosa, Roberto (1982) </w:t>
      </w:r>
      <w:r>
        <w:rPr>
          <w:rFonts w:ascii="Times New Roman" w:eastAsia="Times New Roman" w:hAnsi="Times New Roman" w:cs="Times New Roman"/>
          <w:i/>
        </w:rPr>
        <w:t>El mundo ha vivido equivocado</w:t>
      </w:r>
      <w:r>
        <w:rPr>
          <w:rFonts w:ascii="Times New Roman" w:eastAsia="Times New Roman" w:hAnsi="Times New Roman" w:cs="Times New Roman"/>
        </w:rPr>
        <w:t xml:space="preserve">. Ediciones de la Flor. Buenos Aires. Fontanarrosa, Roberto (1993) </w:t>
      </w:r>
      <w:r>
        <w:rPr>
          <w:rFonts w:ascii="Times New Roman" w:eastAsia="Times New Roman" w:hAnsi="Times New Roman" w:cs="Times New Roman"/>
          <w:i/>
        </w:rPr>
        <w:t>Uno nunca sabe</w:t>
      </w:r>
      <w:r>
        <w:rPr>
          <w:rFonts w:ascii="Times New Roman" w:eastAsia="Times New Roman" w:hAnsi="Times New Roman" w:cs="Times New Roman"/>
        </w:rPr>
        <w:t xml:space="preserve">. Ediciones de la Flor. Buenos Aires.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10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HOJA DE RUTA (Orientadora) 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54" w:type="dxa"/>
        <w:tblInd w:w="2" w:type="dxa"/>
        <w:tblCellMar>
          <w:top w:w="12" w:type="dxa"/>
          <w:left w:w="104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806"/>
        <w:gridCol w:w="3130"/>
        <w:gridCol w:w="994"/>
        <w:gridCol w:w="1152"/>
        <w:gridCol w:w="1118"/>
        <w:gridCol w:w="1315"/>
        <w:gridCol w:w="1339"/>
      </w:tblGrid>
      <w:tr w:rsidR="0002746A">
        <w:trPr>
          <w:trHeight w:val="46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Seman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A" w:rsidRDefault="00BE66C5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Temática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Horas Teóricas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Horas Prácticas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A" w:rsidRDefault="00BE66C5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Tutorías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Evaluacione 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Otras Actividades*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  <w:tr w:rsidR="0002746A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  <w:tr w:rsidR="0002746A">
        <w:trPr>
          <w:trHeight w:val="38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Unidad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A" w:rsidRDefault="00BE66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</w:tr>
    </w:tbl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10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2746A" w:rsidRDefault="00BE66C5">
      <w:pPr>
        <w:spacing w:after="0"/>
        <w:ind w:right="6467"/>
        <w:jc w:val="center"/>
      </w:pPr>
      <w:r>
        <w:rPr>
          <w:noProof/>
        </w:rPr>
        <w:drawing>
          <wp:inline distT="0" distB="0" distL="0" distR="0">
            <wp:extent cx="1971675" cy="1479550"/>
            <wp:effectExtent l="0" t="0" r="0" b="0"/>
            <wp:docPr id="1693" name="Picture 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2746A" w:rsidRDefault="00BE66C5">
      <w:pPr>
        <w:numPr>
          <w:ilvl w:val="0"/>
          <w:numId w:val="10"/>
        </w:numPr>
        <w:spacing w:after="4" w:line="256" w:lineRule="auto"/>
        <w:ind w:hanging="722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2746A">
      <w:type w:val="continuous"/>
      <w:pgSz w:w="11900" w:h="16840"/>
      <w:pgMar w:top="1426" w:right="1112" w:bottom="1411" w:left="1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66C5">
      <w:pPr>
        <w:spacing w:after="0" w:line="240" w:lineRule="auto"/>
      </w:pPr>
      <w:r>
        <w:separator/>
      </w:r>
    </w:p>
  </w:endnote>
  <w:endnote w:type="continuationSeparator" w:id="0">
    <w:p w:rsidR="00000000" w:rsidRDefault="00BE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6A" w:rsidRDefault="00BE66C5">
    <w:pPr>
      <w:spacing w:after="0"/>
      <w:ind w:right="-98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2746A" w:rsidRDefault="00BE66C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6A" w:rsidRDefault="00BE66C5">
    <w:pPr>
      <w:spacing w:after="0"/>
      <w:ind w:right="-98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BE66C5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2746A" w:rsidRDefault="00BE66C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6A" w:rsidRDefault="00BE66C5">
    <w:pPr>
      <w:spacing w:after="0"/>
      <w:ind w:right="-98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2746A" w:rsidRDefault="00BE66C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66C5">
      <w:pPr>
        <w:spacing w:after="0" w:line="240" w:lineRule="auto"/>
      </w:pPr>
      <w:r>
        <w:separator/>
      </w:r>
    </w:p>
  </w:footnote>
  <w:footnote w:type="continuationSeparator" w:id="0">
    <w:p w:rsidR="00000000" w:rsidRDefault="00BE6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207"/>
    <w:multiLevelType w:val="hybridMultilevel"/>
    <w:tmpl w:val="884E9A4C"/>
    <w:lvl w:ilvl="0" w:tplc="E0084006">
      <w:start w:val="1"/>
      <w:numFmt w:val="bullet"/>
      <w:lvlText w:val="Ø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8A6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A877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6E4A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98E6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CD1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ABC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457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C9E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8608E"/>
    <w:multiLevelType w:val="hybridMultilevel"/>
    <w:tmpl w:val="C22E0D7A"/>
    <w:lvl w:ilvl="0" w:tplc="6A5A9258">
      <w:start w:val="5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CD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627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6C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E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68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249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EE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2B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53672"/>
    <w:multiLevelType w:val="hybridMultilevel"/>
    <w:tmpl w:val="C79C45C4"/>
    <w:lvl w:ilvl="0" w:tplc="F318756E">
      <w:start w:val="3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8C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02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8C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4A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20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C5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67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402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F31EE"/>
    <w:multiLevelType w:val="hybridMultilevel"/>
    <w:tmpl w:val="7D1401D4"/>
    <w:lvl w:ilvl="0" w:tplc="82DCB51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C9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474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C2D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2C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C5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EB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8B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4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94028"/>
    <w:multiLevelType w:val="hybridMultilevel"/>
    <w:tmpl w:val="FC8C11F2"/>
    <w:lvl w:ilvl="0" w:tplc="E48A1F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EDF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C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7C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985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E15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8B6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34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C8A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9B638B"/>
    <w:multiLevelType w:val="hybridMultilevel"/>
    <w:tmpl w:val="4E5CA692"/>
    <w:lvl w:ilvl="0" w:tplc="AFA289AC">
      <w:start w:val="1"/>
      <w:numFmt w:val="lowerLetter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D6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470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8CF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61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6B4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031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8E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8F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67984"/>
    <w:multiLevelType w:val="hybridMultilevel"/>
    <w:tmpl w:val="2F30CA60"/>
    <w:lvl w:ilvl="0" w:tplc="74E8521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0DF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03B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81E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2A7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E10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C98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98D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6AC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0A3E16"/>
    <w:multiLevelType w:val="hybridMultilevel"/>
    <w:tmpl w:val="198097E2"/>
    <w:lvl w:ilvl="0" w:tplc="2146C5E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43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E46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48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A1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C7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4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0A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2DF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DD5222"/>
    <w:multiLevelType w:val="hybridMultilevel"/>
    <w:tmpl w:val="733C2632"/>
    <w:lvl w:ilvl="0" w:tplc="C8EA702E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E5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00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20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6F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A0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4B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6B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A8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473F5A"/>
    <w:multiLevelType w:val="hybridMultilevel"/>
    <w:tmpl w:val="3FA2A804"/>
    <w:lvl w:ilvl="0" w:tplc="3AFE789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3BC416A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975C20A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FBB603B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181A189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6D22D7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E8C68D2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910713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CE81D5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6A"/>
    <w:rsid w:val="0002746A"/>
    <w:rsid w:val="00B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5B1D"/>
  <w15:docId w15:val="{C6505129-05AC-415B-AAA3-BA7F89E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E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  a la publicidad  Programa (1)</vt:lpstr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  a la publicidad  Programa (1)</dc:title>
  <dc:subject/>
  <dc:creator>Daniel Gutiérrez</dc:creator>
  <cp:keywords/>
  <cp:lastModifiedBy>Lucio Aya Tenorio - Cs. Sociales</cp:lastModifiedBy>
  <cp:revision>2</cp:revision>
  <dcterms:created xsi:type="dcterms:W3CDTF">2026-04-30T13:12:00Z</dcterms:created>
  <dcterms:modified xsi:type="dcterms:W3CDTF">2026-04-30T13:12:00Z</dcterms:modified>
</cp:coreProperties>
</file>