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27" w:rsidRDefault="00025727">
      <w:pPr>
        <w:spacing w:after="10"/>
      </w:pPr>
      <w:r>
        <w:rPr>
          <w:rFonts w:ascii="Arial" w:eastAsia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25727" w:rsidTr="00025727">
        <w:tc>
          <w:tcPr>
            <w:tcW w:w="4819" w:type="dxa"/>
          </w:tcPr>
          <w:p w:rsidR="00025727" w:rsidRP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</w:rPr>
            </w:pPr>
            <w:r w:rsidRPr="0002572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7A7187" wp14:editId="16621107">
                  <wp:extent cx="562610" cy="712470"/>
                  <wp:effectExtent l="0" t="0" r="0" b="0"/>
                  <wp:docPr id="261" name="Pictur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727" w:rsidRP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</w:rPr>
            </w:pPr>
            <w:r w:rsidRPr="00025727">
              <w:rPr>
                <w:rFonts w:ascii="Times New Roman" w:hAnsi="Times New Roman" w:cs="Times New Roman"/>
                <w:b/>
              </w:rPr>
              <w:t>UNIVERSIDAD DEL SALVADOR</w:t>
            </w:r>
          </w:p>
          <w:p w:rsidR="00025727" w:rsidRP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727">
              <w:rPr>
                <w:rFonts w:ascii="Times New Roman" w:hAnsi="Times New Roman" w:cs="Times New Roman"/>
                <w:b/>
                <w:i/>
              </w:rPr>
              <w:t>Facultad de Ciencias Sociales, Educación</w:t>
            </w:r>
          </w:p>
          <w:p w:rsidR="00025727" w:rsidRP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727">
              <w:rPr>
                <w:rFonts w:ascii="Times New Roman" w:hAnsi="Times New Roman" w:cs="Times New Roman"/>
                <w:b/>
                <w:i/>
              </w:rPr>
              <w:t>y Comunicación</w:t>
            </w:r>
          </w:p>
        </w:tc>
        <w:tc>
          <w:tcPr>
            <w:tcW w:w="4819" w:type="dxa"/>
          </w:tcPr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Ciclo de Complementación Curricular</w:t>
            </w:r>
          </w:p>
          <w:p w:rsidR="00025727" w:rsidRPr="00025727" w:rsidRDefault="00025727" w:rsidP="00025727">
            <w:pPr>
              <w:spacing w:after="1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en Trabajo Social</w:t>
            </w:r>
          </w:p>
        </w:tc>
      </w:tr>
    </w:tbl>
    <w:p w:rsidR="004900B3" w:rsidRDefault="004900B3">
      <w:pPr>
        <w:spacing w:after="10"/>
      </w:pPr>
    </w:p>
    <w:p w:rsidR="004900B3" w:rsidRDefault="004900B3">
      <w:pPr>
        <w:spacing w:after="449"/>
        <w:ind w:left="1894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025727" w:rsidRDefault="00025727">
      <w:pPr>
        <w:spacing w:after="449"/>
        <w:ind w:left="1894"/>
        <w:rPr>
          <w:rFonts w:ascii="Times New Roman" w:eastAsia="Times New Roman" w:hAnsi="Times New Roman" w:cs="Times New Roman"/>
          <w:b/>
        </w:rPr>
      </w:pPr>
    </w:p>
    <w:p w:rsidR="00025727" w:rsidRDefault="00025727">
      <w:pPr>
        <w:spacing w:after="449"/>
        <w:ind w:left="1894"/>
        <w:rPr>
          <w:rFonts w:ascii="Times New Roman" w:eastAsia="Times New Roman" w:hAnsi="Times New Roman" w:cs="Times New Roman"/>
          <w:b/>
        </w:rPr>
      </w:pPr>
    </w:p>
    <w:p w:rsidR="00025727" w:rsidRDefault="00025727">
      <w:pPr>
        <w:spacing w:after="449"/>
        <w:ind w:left="1894"/>
      </w:pPr>
    </w:p>
    <w:p w:rsidR="004900B3" w:rsidRDefault="00025727">
      <w:pPr>
        <w:pStyle w:val="Ttulo1"/>
        <w:ind w:left="10" w:right="4"/>
      </w:pPr>
      <w:r>
        <w:t xml:space="preserve">PROGRAMA 2026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11" w:type="dxa"/>
        <w:tblInd w:w="-91" w:type="dxa"/>
        <w:tblCellMar>
          <w:top w:w="12" w:type="dxa"/>
          <w:left w:w="104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545"/>
        <w:gridCol w:w="464"/>
        <w:gridCol w:w="537"/>
        <w:gridCol w:w="106"/>
        <w:gridCol w:w="2889"/>
        <w:gridCol w:w="159"/>
        <w:gridCol w:w="1795"/>
        <w:gridCol w:w="846"/>
        <w:gridCol w:w="1770"/>
      </w:tblGrid>
      <w:tr w:rsidR="004900B3">
        <w:trPr>
          <w:trHeight w:val="463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PROFESOR: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Mg. Sandra M. Almeyda 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</w:tr>
      <w:tr w:rsidR="004900B3">
        <w:trPr>
          <w:trHeight w:val="516"/>
        </w:trPr>
        <w:tc>
          <w:tcPr>
            <w:tcW w:w="2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TOTAL DE HS/SEM.: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b/>
              </w:rPr>
              <w:t>TOTAL DE CRÉDITOS SACAU-CRE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4900B3">
        <w:trPr>
          <w:trHeight w:val="770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SEDE: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Facultad de Ciencias Sociales, </w:t>
            </w:r>
          </w:p>
          <w:p w:rsidR="004900B3" w:rsidRDefault="0002572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Educación  y Comunicación (Centro) </w:t>
            </w:r>
          </w:p>
        </w:tc>
        <w:tc>
          <w:tcPr>
            <w:tcW w:w="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MODALIDAD: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A distancia </w:t>
            </w:r>
          </w:p>
        </w:tc>
      </w:tr>
      <w:tr w:rsidR="004900B3">
        <w:trPr>
          <w:trHeight w:val="771"/>
        </w:trPr>
        <w:tc>
          <w:tcPr>
            <w:tcW w:w="2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b/>
              </w:rPr>
              <w:t>HORARIOS DE DICTADO/ENCUENTR OS SINCRÓNICOS: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0B3" w:rsidRDefault="00025727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Miércoles 18/ 20hs 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</w:tr>
      <w:tr w:rsidR="004900B3">
        <w:trPr>
          <w:trHeight w:val="466"/>
        </w:trPr>
        <w:tc>
          <w:tcPr>
            <w:tcW w:w="2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IDIOMA: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0B3" w:rsidRDefault="00025727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Español 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</w:tr>
      <w:tr w:rsidR="004900B3">
        <w:trPr>
          <w:trHeight w:val="463"/>
        </w:trPr>
        <w:tc>
          <w:tcPr>
            <w:tcW w:w="2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AÑO ACADÉMICO: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0B3" w:rsidRDefault="00025727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</w:tr>
      <w:tr w:rsidR="004900B3">
        <w:trPr>
          <w:trHeight w:val="46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URL: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0B3" w:rsidRDefault="0002572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999999"/>
              </w:rPr>
              <w:t>(dirección de acceso al campus)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0B3" w:rsidRDefault="004900B3"/>
        </w:tc>
      </w:tr>
    </w:tbl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1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>VÁLIDO PARA LAS SIGUIENTES CARRERAS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808080"/>
          <w:sz w:val="20"/>
        </w:rPr>
        <w:t xml:space="preserve"> </w:t>
      </w:r>
    </w:p>
    <w:tbl>
      <w:tblPr>
        <w:tblStyle w:val="TableGrid"/>
        <w:tblW w:w="10080" w:type="dxa"/>
        <w:tblInd w:w="-91" w:type="dxa"/>
        <w:tblCellMar>
          <w:top w:w="1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4900B3">
        <w:trPr>
          <w:trHeight w:val="28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Doctorado/Maestrías/Especializaciones </w:t>
            </w:r>
          </w:p>
        </w:tc>
      </w:tr>
      <w:tr w:rsidR="004900B3">
        <w:trPr>
          <w:trHeight w:val="839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Ciclo de Complementación Curricular de Trabajo Social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900B3">
        <w:trPr>
          <w:trHeight w:val="286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900B3">
        <w:trPr>
          <w:trHeight w:val="286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1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 xml:space="preserve">COMPOSICIÓN DE LA CÁTEDRA: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90" w:type="dxa"/>
        <w:tblInd w:w="-91" w:type="dxa"/>
        <w:tblCellMar>
          <w:top w:w="1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70"/>
        <w:gridCol w:w="4920"/>
      </w:tblGrid>
      <w:tr w:rsidR="004900B3">
        <w:trPr>
          <w:trHeight w:val="406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Docente Tutor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900B3">
        <w:trPr>
          <w:trHeight w:val="407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Titular: Mg. Sandra M. Almeyda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Sandra.almeyda@usal.edu.ar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4900B3">
        <w:trPr>
          <w:trHeight w:val="408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A442A"/>
              </w:rPr>
              <w:t xml:space="preserve"> </w:t>
            </w:r>
          </w:p>
        </w:tc>
      </w:tr>
    </w:tbl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1155CC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435" w:type="dxa"/>
        <w:tblInd w:w="-85" w:type="dxa"/>
        <w:tblCellMar>
          <w:top w:w="82" w:type="dxa"/>
          <w:left w:w="9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4826"/>
        <w:gridCol w:w="4609"/>
      </w:tblGrid>
      <w:tr w:rsidR="004900B3">
        <w:trPr>
          <w:trHeight w:val="626"/>
        </w:trPr>
        <w:tc>
          <w:tcPr>
            <w:tcW w:w="4826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(Completar si la materia tiene carga horaria a distancia) 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4900B3" w:rsidRDefault="0002572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1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4900B3" w:rsidRDefault="00025727">
      <w:pPr>
        <w:spacing w:after="5" w:line="24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4A442A"/>
        </w:rPr>
        <w:t>Esta asignatura tiene como propósito ofrecer una aproximación conceptual de las políticas públicas desde una perspectiva crítica, reflexiva y situada en el enfoque de Derechos Humanos. Se propone abordar la complejidad del diseño e implementación de interv</w:t>
      </w:r>
      <w:r>
        <w:rPr>
          <w:rFonts w:ascii="Times New Roman" w:eastAsia="Times New Roman" w:hAnsi="Times New Roman" w:cs="Times New Roman"/>
          <w:color w:val="4A442A"/>
        </w:rPr>
        <w:t xml:space="preserve">enciones públicas, analizando la interacción entre actores estatales y no estatales.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4A442A"/>
        </w:rPr>
        <w:t xml:space="preserve"> </w:t>
      </w:r>
    </w:p>
    <w:p w:rsidR="004900B3" w:rsidRDefault="00025727">
      <w:pPr>
        <w:spacing w:after="5" w:line="24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4A442A"/>
        </w:rPr>
        <w:t xml:space="preserve">Se profundizará en las categorías de Estado, ciudadanía y políticas públicas, vinculando el rol de las Organizaciones de la Sociedad Civil. 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1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>OBJETIVOS DE LA MATERI</w:t>
      </w:r>
      <w:r>
        <w:rPr>
          <w:rFonts w:ascii="Times New Roman" w:eastAsia="Times New Roman" w:hAnsi="Times New Roman" w:cs="Times New Roman"/>
          <w:b/>
        </w:rPr>
        <w:t>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5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4A442A"/>
        </w:rPr>
        <w:t xml:space="preserve">Objetivo General </w:t>
      </w:r>
    </w:p>
    <w:p w:rsidR="004900B3" w:rsidRDefault="00025727">
      <w:pPr>
        <w:spacing w:after="5" w:line="24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4A442A"/>
        </w:rPr>
        <w:t>Proporcionar una aproximación conceptual a las políticas públicas desde una perspectiva de exigibilidad de derechos. Se busca generar un espacio-</w:t>
      </w:r>
      <w:r>
        <w:rPr>
          <w:rFonts w:ascii="Times New Roman" w:eastAsia="Times New Roman" w:hAnsi="Times New Roman" w:cs="Times New Roman"/>
          <w:color w:val="4A442A"/>
        </w:rPr>
        <w:t xml:space="preserve">tiempo de reflexión y debate para promover el desarrollo de un pensamiento y literacidad crítica y el rol protagónico de los/as estudiantes como sujetos activos en la construcción social.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4A442A"/>
        </w:rPr>
        <w:t xml:space="preserve"> </w:t>
      </w:r>
    </w:p>
    <w:p w:rsidR="004900B3" w:rsidRDefault="0002572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4A442A"/>
        </w:rPr>
        <w:t xml:space="preserve">Objetivos Específicos </w:t>
      </w:r>
    </w:p>
    <w:p w:rsidR="004900B3" w:rsidRDefault="00025727">
      <w:pPr>
        <w:numPr>
          <w:ilvl w:val="1"/>
          <w:numId w:val="1"/>
        </w:numPr>
        <w:spacing w:after="5" w:line="248" w:lineRule="auto"/>
        <w:ind w:hanging="360"/>
        <w:jc w:val="both"/>
      </w:pPr>
      <w:r>
        <w:rPr>
          <w:rFonts w:ascii="Times New Roman" w:eastAsia="Times New Roman" w:hAnsi="Times New Roman" w:cs="Times New Roman"/>
          <w:color w:val="4A442A"/>
        </w:rPr>
        <w:t>Analizar la articulación entre el Estado y</w:t>
      </w:r>
      <w:r>
        <w:rPr>
          <w:rFonts w:ascii="Times New Roman" w:eastAsia="Times New Roman" w:hAnsi="Times New Roman" w:cs="Times New Roman"/>
          <w:color w:val="4A442A"/>
        </w:rPr>
        <w:t xml:space="preserve"> la Sociedad Civil desde la perspectiva de derechos. </w:t>
      </w:r>
    </w:p>
    <w:p w:rsidR="004900B3" w:rsidRDefault="00025727">
      <w:pPr>
        <w:numPr>
          <w:ilvl w:val="1"/>
          <w:numId w:val="1"/>
        </w:numPr>
        <w:spacing w:after="5" w:line="248" w:lineRule="auto"/>
        <w:ind w:hanging="360"/>
        <w:jc w:val="both"/>
      </w:pPr>
      <w:r>
        <w:rPr>
          <w:rFonts w:ascii="Times New Roman" w:eastAsia="Times New Roman" w:hAnsi="Times New Roman" w:cs="Times New Roman"/>
          <w:color w:val="4A442A"/>
        </w:rPr>
        <w:t xml:space="preserve">Promover el tránsito de la dimensión individual a la acción colectiva, fortaleciendo mecanismos de participación ciudadana para el bien común. </w:t>
      </w:r>
    </w:p>
    <w:p w:rsidR="004900B3" w:rsidRDefault="00025727">
      <w:pPr>
        <w:numPr>
          <w:ilvl w:val="1"/>
          <w:numId w:val="1"/>
        </w:numPr>
        <w:spacing w:after="5" w:line="248" w:lineRule="auto"/>
        <w:ind w:hanging="360"/>
        <w:jc w:val="both"/>
      </w:pPr>
      <w:r>
        <w:rPr>
          <w:rFonts w:ascii="Times New Roman" w:eastAsia="Times New Roman" w:hAnsi="Times New Roman" w:cs="Times New Roman"/>
          <w:color w:val="4A442A"/>
        </w:rPr>
        <w:t>Fomentar una visión propositiva de lo público mediante est</w:t>
      </w:r>
      <w:r>
        <w:rPr>
          <w:rFonts w:ascii="Times New Roman" w:eastAsia="Times New Roman" w:hAnsi="Times New Roman" w:cs="Times New Roman"/>
          <w:color w:val="4A442A"/>
        </w:rPr>
        <w:t xml:space="preserve">rategias de incidencia política, orientadas a fortalecer las capacidades de intervención en los procesos de toma de decisiones.  </w:t>
      </w:r>
    </w:p>
    <w:p w:rsidR="004900B3" w:rsidRDefault="00025727">
      <w:pPr>
        <w:numPr>
          <w:ilvl w:val="1"/>
          <w:numId w:val="1"/>
        </w:numPr>
        <w:spacing w:after="5" w:line="248" w:lineRule="auto"/>
        <w:ind w:hanging="360"/>
        <w:jc w:val="both"/>
      </w:pPr>
      <w:r>
        <w:rPr>
          <w:rFonts w:ascii="Times New Roman" w:eastAsia="Times New Roman" w:hAnsi="Times New Roman" w:cs="Times New Roman"/>
          <w:color w:val="4A442A"/>
        </w:rPr>
        <w:t xml:space="preserve">Analizar los principales riesgos globales de la actualidad.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1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5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numPr>
          <w:ilvl w:val="0"/>
          <w:numId w:val="2"/>
        </w:numPr>
        <w:spacing w:after="1"/>
        <w:ind w:hanging="723"/>
      </w:pPr>
      <w:r>
        <w:rPr>
          <w:rFonts w:ascii="Times New Roman" w:eastAsia="Times New Roman" w:hAnsi="Times New Roman" w:cs="Times New Roman"/>
          <w:b/>
          <w:i/>
        </w:rPr>
        <w:t>Carga horaria con Interacción Pedagóg</w:t>
      </w:r>
      <w:r>
        <w:rPr>
          <w:rFonts w:ascii="Times New Roman" w:eastAsia="Times New Roman" w:hAnsi="Times New Roman" w:cs="Times New Roman"/>
          <w:b/>
          <w:i/>
        </w:rPr>
        <w:t xml:space="preserve">ica </w:t>
      </w:r>
    </w:p>
    <w:tbl>
      <w:tblPr>
        <w:tblStyle w:val="TableGrid"/>
        <w:tblW w:w="8009" w:type="dxa"/>
        <w:tblInd w:w="1000" w:type="dxa"/>
        <w:tblCellMar>
          <w:top w:w="58" w:type="dxa"/>
          <w:left w:w="11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663"/>
        <w:gridCol w:w="1157"/>
        <w:gridCol w:w="1155"/>
        <w:gridCol w:w="1034"/>
      </w:tblGrid>
      <w:tr w:rsidR="004900B3">
        <w:trPr>
          <w:trHeight w:val="357"/>
        </w:trPr>
        <w:tc>
          <w:tcPr>
            <w:tcW w:w="4663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900B3" w:rsidRDefault="00025727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900B3" w:rsidRDefault="0002572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900B3" w:rsidRDefault="0002572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900B3">
        <w:trPr>
          <w:trHeight w:val="577"/>
        </w:trPr>
        <w:tc>
          <w:tcPr>
            <w:tcW w:w="466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900B3" w:rsidRDefault="00025727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presencial/de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>(videoconferencia)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h 15 min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45 min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2hs </w:t>
            </w:r>
          </w:p>
        </w:tc>
      </w:tr>
      <w:tr w:rsidR="004900B3">
        <w:trPr>
          <w:trHeight w:val="577"/>
        </w:trPr>
        <w:tc>
          <w:tcPr>
            <w:tcW w:w="466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hora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hora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2hs </w:t>
            </w:r>
          </w:p>
        </w:tc>
      </w:tr>
      <w:tr w:rsidR="004900B3">
        <w:trPr>
          <w:trHeight w:val="575"/>
        </w:trPr>
        <w:tc>
          <w:tcPr>
            <w:tcW w:w="466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 h 15 min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h 45 min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4hs </w:t>
            </w:r>
          </w:p>
        </w:tc>
      </w:tr>
    </w:tbl>
    <w:p w:rsidR="004900B3" w:rsidRDefault="00025727">
      <w:pPr>
        <w:numPr>
          <w:ilvl w:val="0"/>
          <w:numId w:val="2"/>
        </w:numPr>
        <w:spacing w:after="1"/>
        <w:ind w:hanging="723"/>
      </w:pPr>
      <w:r>
        <w:rPr>
          <w:rFonts w:ascii="Times New Roman" w:eastAsia="Times New Roman" w:hAnsi="Times New Roman" w:cs="Times New Roman"/>
          <w:b/>
          <w:i/>
        </w:rPr>
        <w:t xml:space="preserve">Carga horaria para trabajo autónomo: 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UNIDADES TEMÁTICAS, CONTENIDOS, BIBLIOGRAFÍA POR UNIDAD TEMÁTICA y ACCESIBILIDAD: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60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spacing w:after="1" w:line="238" w:lineRule="auto"/>
        <w:ind w:left="-3" w:right="487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Unidad I: Estado, Ciudadanía y Política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4900B3" w:rsidRDefault="00025727">
      <w:pPr>
        <w:numPr>
          <w:ilvl w:val="0"/>
          <w:numId w:val="3"/>
        </w:numPr>
        <w:spacing w:after="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Estado: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concepto; características; funciones; enfoques; diferencia entre Estado y gobierno. </w:t>
      </w:r>
    </w:p>
    <w:p w:rsidR="004900B3" w:rsidRDefault="00025727">
      <w:pPr>
        <w:numPr>
          <w:ilvl w:val="0"/>
          <w:numId w:val="3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Ciudadanía: concepto; características; participación ciudadana. </w:t>
      </w:r>
    </w:p>
    <w:p w:rsidR="004900B3" w:rsidRDefault="00025727">
      <w:pPr>
        <w:numPr>
          <w:ilvl w:val="0"/>
          <w:numId w:val="3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Política Pública: concepto y características; políticas con enfoque de derechos.  </w:t>
      </w:r>
    </w:p>
    <w:p w:rsidR="004900B3" w:rsidRDefault="00025727">
      <w:pPr>
        <w:numPr>
          <w:ilvl w:val="0"/>
          <w:numId w:val="3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Agenda: agenda de gobierno; agenda pública, conformación de la agenda, ciclo de la agenda.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Policrisis y derechos: observar algunos de los efectos de la pandemia, la crisis económica mundial y los conflictos armados, como un conjunto de riesgos globales r</w:t>
      </w:r>
      <w:r>
        <w:rPr>
          <w:rFonts w:ascii="Times New Roman" w:eastAsia="Times New Roman" w:hAnsi="Times New Roman" w:cs="Times New Roman"/>
          <w:sz w:val="24"/>
        </w:rPr>
        <w:t>elacionados entre sí, con efectos agravantes y consecuencias impredecibles, sin perder de vista que se trata de una crisis multidimensional e interconectada y teniendo en cuenta la necesidad de superar las falsas dicotomías salud/economía/seguridad/ecologí</w:t>
      </w:r>
      <w:r>
        <w:rPr>
          <w:rFonts w:ascii="Times New Roman" w:eastAsia="Times New Roman" w:hAnsi="Times New Roman" w:cs="Times New Roman"/>
          <w:sz w:val="24"/>
        </w:rPr>
        <w:t xml:space="preserve">a. Concepto de acción colectiva. </w:t>
      </w:r>
    </w:p>
    <w:p w:rsidR="004900B3" w:rsidRDefault="00025727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WEF- Davos, </w:t>
      </w:r>
      <w:r>
        <w:rPr>
          <w:rFonts w:ascii="Times New Roman" w:eastAsia="Times New Roman" w:hAnsi="Times New Roman" w:cs="Times New Roman"/>
          <w:sz w:val="24"/>
        </w:rPr>
        <w:t xml:space="preserve">Informe de Riesgos Globales 2026: mayores riesgos geopolíticos y económicos en la 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nueva era de la competencia: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https://reports.weforum.org/docs/GRR26_Press_Release_Spanish.pdf</w:t>
        </w:r>
      </w:hyperlink>
      <w:hyperlink r:id="rId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WEF- </w:t>
      </w:r>
      <w:r>
        <w:rPr>
          <w:rFonts w:ascii="Times New Roman" w:eastAsia="Times New Roman" w:hAnsi="Times New Roman" w:cs="Times New Roman"/>
          <w:b/>
          <w:sz w:val="24"/>
        </w:rPr>
        <w:tab/>
        <w:t>Davos,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Informe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 xml:space="preserve">Riesgos </w:t>
      </w:r>
      <w:r>
        <w:rPr>
          <w:rFonts w:ascii="Times New Roman" w:eastAsia="Times New Roman" w:hAnsi="Times New Roman" w:cs="Times New Roman"/>
          <w:sz w:val="24"/>
        </w:rPr>
        <w:tab/>
        <w:t xml:space="preserve">Globales </w:t>
      </w:r>
      <w:r>
        <w:rPr>
          <w:rFonts w:ascii="Times New Roman" w:eastAsia="Times New Roman" w:hAnsi="Times New Roman" w:cs="Times New Roman"/>
          <w:sz w:val="24"/>
        </w:rPr>
        <w:tab/>
        <w:t xml:space="preserve">2026: </w:t>
      </w:r>
      <w:r>
        <w:rPr>
          <w:rFonts w:ascii="Times New Roman" w:eastAsia="Times New Roman" w:hAnsi="Times New Roman" w:cs="Times New Roman"/>
          <w:sz w:val="24"/>
        </w:rPr>
        <w:tab/>
        <w:t xml:space="preserve">proyecciones: </w:t>
      </w:r>
      <w:hyperlink r:id="rId10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https://www.weforum.org/publications/global</w:t>
        </w:r>
      </w:hyperlink>
      <w:hyperlink r:id="rId1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1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15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6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2026/in</w:t>
        </w:r>
      </w:hyperlink>
      <w:hyperlink r:id="rId1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full/global</w:t>
        </w:r>
      </w:hyperlink>
      <w:hyperlink r:id="rId19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0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2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2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</w:t>
        </w:r>
      </w:hyperlink>
      <w:hyperlink r:id="rId25" w:anchor="global-risks-report-2026-chapter-1"/>
      <w:hyperlink r:id="rId26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chapter</w:t>
        </w:r>
      </w:hyperlink>
      <w:hyperlink r:id="rId2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1/#global</w:t>
        </w:r>
      </w:hyperlink>
      <w:hyperlink r:id="rId29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0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3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3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</w:t>
        </w:r>
      </w:hyperlink>
      <w:hyperlink r:id="rId35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6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chapter</w:t>
        </w:r>
      </w:hyperlink>
      <w:hyperlink r:id="rId3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1</w:t>
        </w:r>
      </w:hyperlink>
      <w:hyperlink r:id="rId39" w:anchor="global-risks-report-2026-chapter-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0" w:line="240" w:lineRule="auto"/>
        <w:ind w:right="4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CONFERENCIA DE SEGURIDAD DE MUNICH</w:t>
      </w:r>
      <w:r>
        <w:rPr>
          <w:rFonts w:ascii="Times New Roman" w:eastAsia="Times New Roman" w:hAnsi="Times New Roman" w:cs="Times New Roman"/>
          <w:sz w:val="24"/>
        </w:rPr>
        <w:t xml:space="preserve">- 2026, Resumen ejecutivo Informe de seguridad de Munich 2026: </w:t>
      </w:r>
      <w:hyperlink r:id="rId4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https://securityconference.org/en/publications/munich</w:t>
        </w:r>
      </w:hyperlink>
      <w:hyperlink r:id="rId4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4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security</w:t>
        </w:r>
      </w:hyperlink>
      <w:hyperlink r:id="rId43"/>
      <w:hyperlink r:id="rId4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report/2026/executive</w:t>
        </w:r>
      </w:hyperlink>
      <w:hyperlink r:id="rId4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4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summar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y/</w:t>
        </w:r>
      </w:hyperlink>
      <w:hyperlink r:id="rId4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Oxfam, Informe 2026: 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file:///C:/Users/Sandra%20Almeyda/Documents/USAL/POLITICAS%20DE%20DESARROLLO/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UNIDAD%201-%20ESTADO-DDHH-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CDANIA/BIBLI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O%20OBLIGATORIA/OXFAM%20CONTRA%20EL%20IMPERIO%20DE%20 LOS%20MAS%20RICOS-%20ENE%202026.pdf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900B3" w:rsidRDefault="00025727">
      <w:pPr>
        <w:spacing w:after="3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Aldo Isuani, </w:t>
      </w:r>
      <w:r>
        <w:rPr>
          <w:rFonts w:ascii="Times New Roman" w:eastAsia="Times New Roman" w:hAnsi="Times New Roman" w:cs="Times New Roman"/>
          <w:i/>
          <w:sz w:val="24"/>
        </w:rPr>
        <w:t>Tres enfoques sobre el concepto de Estado</w:t>
      </w:r>
      <w:r>
        <w:rPr>
          <w:rFonts w:ascii="Times New Roman" w:eastAsia="Times New Roman" w:hAnsi="Times New Roman" w:cs="Times New Roman"/>
          <w:sz w:val="24"/>
        </w:rPr>
        <w:t>, UBA.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Lahera Parada, Eugenio </w:t>
      </w:r>
      <w:r>
        <w:rPr>
          <w:rFonts w:ascii="Times New Roman" w:eastAsia="Times New Roman" w:hAnsi="Times New Roman" w:cs="Times New Roman"/>
          <w:sz w:val="24"/>
        </w:rPr>
        <w:t xml:space="preserve">(1999). </w:t>
      </w:r>
      <w:r>
        <w:rPr>
          <w:rFonts w:ascii="Times New Roman" w:eastAsia="Times New Roman" w:hAnsi="Times New Roman" w:cs="Times New Roman"/>
          <w:i/>
          <w:sz w:val="24"/>
        </w:rPr>
        <w:t>Introducción a las políticas públicas</w:t>
      </w:r>
      <w:r>
        <w:rPr>
          <w:rFonts w:ascii="Times New Roman" w:eastAsia="Times New Roman" w:hAnsi="Times New Roman" w:cs="Times New Roman"/>
          <w:sz w:val="24"/>
        </w:rPr>
        <w:t>. CEPAL, Santiago de Chile (pp. de</w:t>
      </w:r>
      <w:r>
        <w:rPr>
          <w:rFonts w:ascii="Times New Roman" w:eastAsia="Times New Roman" w:hAnsi="Times New Roman" w:cs="Times New Roman"/>
          <w:sz w:val="24"/>
        </w:rPr>
        <w:t xml:space="preserve">l libro: 13-25; 30-35; 37-59).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Benéitez Romero, María Benita </w:t>
      </w:r>
      <w:r>
        <w:rPr>
          <w:rFonts w:ascii="Times New Roman" w:eastAsia="Times New Roman" w:hAnsi="Times New Roman" w:cs="Times New Roman"/>
          <w:sz w:val="24"/>
        </w:rPr>
        <w:t xml:space="preserve">(2004). Tesis </w:t>
      </w:r>
      <w:r>
        <w:rPr>
          <w:rFonts w:ascii="Times New Roman" w:eastAsia="Times New Roman" w:hAnsi="Times New Roman" w:cs="Times New Roman"/>
          <w:i/>
          <w:sz w:val="24"/>
        </w:rPr>
        <w:t>Doctoral: La Ciudadanía en la Teoría Política Contemporánea: Modelos Propuestos y su Debate</w:t>
      </w:r>
      <w:r>
        <w:rPr>
          <w:rFonts w:ascii="Times New Roman" w:eastAsia="Times New Roman" w:hAnsi="Times New Roman" w:cs="Times New Roman"/>
          <w:sz w:val="24"/>
        </w:rPr>
        <w:t>. Departamento de Ciencias Políticas y de la Administración. Facultad de Ciencias Polític</w:t>
      </w:r>
      <w:r>
        <w:rPr>
          <w:rFonts w:ascii="Times New Roman" w:eastAsia="Times New Roman" w:hAnsi="Times New Roman" w:cs="Times New Roman"/>
          <w:sz w:val="24"/>
        </w:rPr>
        <w:t xml:space="preserve">as y Sociología. Universidad Complutense de Madrid. Madrid, España (pp. del archivo: 125; 153-171; 189; 222-226; 257-262; 287-294). </w:t>
      </w:r>
    </w:p>
    <w:p w:rsidR="004900B3" w:rsidRDefault="00025727">
      <w:pPr>
        <w:spacing w:after="3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Cunill Grau, Nuria </w:t>
      </w:r>
      <w:r>
        <w:rPr>
          <w:rFonts w:ascii="Times New Roman" w:eastAsia="Times New Roman" w:hAnsi="Times New Roman" w:cs="Times New Roman"/>
          <w:sz w:val="24"/>
        </w:rPr>
        <w:t xml:space="preserve">(2010). </w:t>
      </w:r>
      <w:r>
        <w:rPr>
          <w:rFonts w:ascii="Times New Roman" w:eastAsia="Times New Roman" w:hAnsi="Times New Roman" w:cs="Times New Roman"/>
          <w:i/>
          <w:sz w:val="24"/>
        </w:rPr>
        <w:t>Las políticas con Enfoque de Derechos y su Incidencia en la Institucionalidad Pública</w:t>
      </w:r>
      <w:r>
        <w:rPr>
          <w:rFonts w:ascii="Times New Roman" w:eastAsia="Times New Roman" w:hAnsi="Times New Roman" w:cs="Times New Roman"/>
          <w:sz w:val="24"/>
        </w:rPr>
        <w:t>. Revista d</w:t>
      </w:r>
      <w:r>
        <w:rPr>
          <w:rFonts w:ascii="Times New Roman" w:eastAsia="Times New Roman" w:hAnsi="Times New Roman" w:cs="Times New Roman"/>
          <w:sz w:val="24"/>
        </w:rPr>
        <w:t xml:space="preserve">el CLAD Reforma y Democracia. No. 46. Caracas, Venezuela. </w:t>
      </w:r>
    </w:p>
    <w:p w:rsidR="004900B3" w:rsidRDefault="00025727">
      <w:pPr>
        <w:spacing w:after="1" w:line="238" w:lineRule="auto"/>
        <w:ind w:left="-3" w:right="487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Unidad II: Derechos Humanos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4900B3" w:rsidRDefault="00025727">
      <w:pPr>
        <w:numPr>
          <w:ilvl w:val="0"/>
          <w:numId w:val="4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Derechos Humanos: concepto; características; clasificación; emergencia y evolución; noción de dignidad humana; tipología de los DDHH. </w:t>
      </w:r>
    </w:p>
    <w:p w:rsidR="004900B3" w:rsidRDefault="00025727">
      <w:pPr>
        <w:numPr>
          <w:ilvl w:val="0"/>
          <w:numId w:val="4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Internacionalización de los DDHH; </w:t>
      </w:r>
      <w:r>
        <w:rPr>
          <w:rFonts w:ascii="Times New Roman" w:eastAsia="Times New Roman" w:hAnsi="Times New Roman" w:cs="Times New Roman"/>
          <w:i/>
          <w:sz w:val="24"/>
        </w:rPr>
        <w:t>Pacta Sunt Servanda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900B3" w:rsidRDefault="00025727">
      <w:pPr>
        <w:numPr>
          <w:ilvl w:val="0"/>
          <w:numId w:val="4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Historia de la Declaración de los Derechos Humanos: visión occidental y visión islámica.   </w:t>
      </w:r>
    </w:p>
    <w:p w:rsidR="004900B3" w:rsidRDefault="00025727">
      <w:pPr>
        <w:numPr>
          <w:ilvl w:val="0"/>
          <w:numId w:val="4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Identificación de posibles inconsistencias entre el </w:t>
      </w:r>
      <w:r>
        <w:rPr>
          <w:rFonts w:ascii="Times New Roman" w:eastAsia="Times New Roman" w:hAnsi="Times New Roman" w:cs="Times New Roman"/>
          <w:i/>
          <w:sz w:val="24"/>
        </w:rPr>
        <w:t>deber ser</w:t>
      </w:r>
      <w:r>
        <w:rPr>
          <w:rFonts w:ascii="Times New Roman" w:eastAsia="Times New Roman" w:hAnsi="Times New Roman" w:cs="Times New Roman"/>
          <w:sz w:val="24"/>
        </w:rPr>
        <w:t xml:space="preserve"> de los derechos y el mundo real, ante situacio</w:t>
      </w:r>
      <w:r>
        <w:rPr>
          <w:rFonts w:ascii="Times New Roman" w:eastAsia="Times New Roman" w:hAnsi="Times New Roman" w:cs="Times New Roman"/>
          <w:sz w:val="24"/>
        </w:rPr>
        <w:t xml:space="preserve">nes concretas, en particular en tiempos de policrisis.  </w:t>
      </w:r>
    </w:p>
    <w:p w:rsidR="004900B3" w:rsidRDefault="00025727">
      <w:pPr>
        <w:numPr>
          <w:ilvl w:val="0"/>
          <w:numId w:val="4"/>
        </w:numPr>
        <w:spacing w:after="10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Exigibilidad de los derechos sociales e incidencia en políticas públicas desde la perspectiva de la participación de la sociedad civil.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4900B3" w:rsidRDefault="00025727">
      <w:pPr>
        <w:spacing w:after="0"/>
        <w:ind w:left="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4900B3" w:rsidRDefault="00025727">
      <w:pPr>
        <w:spacing w:after="0"/>
        <w:ind w:left="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900B3" w:rsidRDefault="00025727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González, Nazario </w:t>
      </w:r>
      <w:r>
        <w:rPr>
          <w:rFonts w:ascii="Times New Roman" w:eastAsia="Times New Roman" w:hAnsi="Times New Roman" w:cs="Times New Roman"/>
          <w:sz w:val="24"/>
        </w:rPr>
        <w:t>(2002).</w:t>
      </w:r>
      <w:r>
        <w:rPr>
          <w:rFonts w:ascii="Times New Roman" w:eastAsia="Times New Roman" w:hAnsi="Times New Roman" w:cs="Times New Roman"/>
          <w:i/>
          <w:sz w:val="24"/>
        </w:rPr>
        <w:t xml:space="preserve"> Los D</w:t>
      </w:r>
      <w:r>
        <w:rPr>
          <w:rFonts w:ascii="Times New Roman" w:eastAsia="Times New Roman" w:hAnsi="Times New Roman" w:cs="Times New Roman"/>
          <w:i/>
          <w:sz w:val="24"/>
        </w:rPr>
        <w:t xml:space="preserve">erechos Humanos en la historia. </w:t>
      </w:r>
      <w:r>
        <w:rPr>
          <w:rFonts w:ascii="Times New Roman" w:eastAsia="Times New Roman" w:hAnsi="Times New Roman" w:cs="Times New Roman"/>
          <w:sz w:val="24"/>
        </w:rPr>
        <w:t xml:space="preserve">Alfaomega. Universidad Autónoma de Barcelona (cap. XII). 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Convención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Viena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sobre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el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derecho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los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tratados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(1969):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://www.oas.org/xxxivga/spanish/reference_docs/convencion_viena.pdf</w:t>
        </w:r>
      </w:hyperlink>
      <w:hyperlink r:id="rId4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(Art. 26 y 27). </w:t>
      </w:r>
    </w:p>
    <w:p w:rsidR="004900B3" w:rsidRDefault="00025727">
      <w:pPr>
        <w:spacing w:after="4" w:line="252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Declaración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Universal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Derechos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Humanos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hyperlink r:id="rId50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http://www.ohchr.org/EN/UDHR/Documents/UDHR_Translations/spn.pdf</w:t>
        </w:r>
      </w:hyperlink>
      <w:hyperlink r:id="rId51">
        <w:r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4900B3" w:rsidRDefault="00025727">
      <w:pPr>
        <w:spacing w:after="13" w:line="249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Declaración de los Derechos Humanos en el Islam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Conferencia Islámica de El Cairo, 1990: 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http://www.oic</w:t>
        </w:r>
      </w:hyperlink>
      <w:hyperlink r:id="rId5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5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oci.org</w:t>
        </w:r>
      </w:hyperlink>
      <w:hyperlink r:id="rId5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tabs>
          <w:tab w:val="center" w:pos="1820"/>
          <w:tab w:val="center" w:pos="3544"/>
          <w:tab w:val="center" w:pos="5225"/>
          <w:tab w:val="center" w:pos="6848"/>
          <w:tab w:val="center" w:pos="7886"/>
          <w:tab w:val="right" w:pos="9648"/>
        </w:tabs>
        <w:spacing w:after="13" w:line="249" w:lineRule="auto"/>
        <w:ind w:left="-1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Pacto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Internacional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Derechos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Económicos,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Sociales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y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Culturales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:rsidR="004900B3" w:rsidRDefault="00025727">
      <w:pPr>
        <w:spacing w:after="4" w:line="252" w:lineRule="auto"/>
        <w:ind w:left="-3" w:hanging="10"/>
      </w:pPr>
      <w:hyperlink r:id="rId56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http://www.ohchr.org/SP/ProfessionalInterest/Pages/CESCR.aspx</w:t>
        </w:r>
      </w:hyperlink>
      <w:hyperlink r:id="rId57">
        <w:r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4900B3" w:rsidRDefault="00025727">
      <w:pPr>
        <w:spacing w:after="3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>V. Abramovich y C. Courtis</w:t>
      </w:r>
      <w:r>
        <w:rPr>
          <w:rFonts w:ascii="Times New Roman" w:eastAsia="Times New Roman" w:hAnsi="Times New Roman" w:cs="Times New Roman"/>
          <w:sz w:val="24"/>
        </w:rPr>
        <w:t xml:space="preserve"> (2002), </w:t>
      </w:r>
      <w:r>
        <w:rPr>
          <w:rFonts w:ascii="Times New Roman" w:eastAsia="Times New Roman" w:hAnsi="Times New Roman" w:cs="Times New Roman"/>
          <w:i/>
          <w:sz w:val="24"/>
        </w:rPr>
        <w:t>Los derechos sociales como derechos exigibles</w:t>
      </w:r>
      <w:r>
        <w:rPr>
          <w:rFonts w:ascii="Times New Roman" w:eastAsia="Times New Roman" w:hAnsi="Times New Roman" w:cs="Times New Roman"/>
          <w:sz w:val="24"/>
        </w:rPr>
        <w:t>, Ed. Trotta, Madrid.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900B3" w:rsidRDefault="00025727">
      <w:pPr>
        <w:spacing w:after="3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Artículo de The Economist: </w:t>
      </w:r>
      <w:r>
        <w:rPr>
          <w:rFonts w:ascii="Times New Roman" w:eastAsia="Times New Roman" w:hAnsi="Times New Roman" w:cs="Times New Roman"/>
          <w:i/>
          <w:sz w:val="24"/>
        </w:rPr>
        <w:t>Derechos humanos: defienda sus derechos. Eso sí: los de siempre. No se distraiga con</w:t>
      </w:r>
      <w:r>
        <w:rPr>
          <w:rFonts w:ascii="Times New Roman" w:eastAsia="Times New Roman" w:hAnsi="Times New Roman" w:cs="Times New Roman"/>
          <w:i/>
          <w:sz w:val="24"/>
        </w:rPr>
        <w:t xml:space="preserve"> los más nuevos</w:t>
      </w:r>
      <w:r>
        <w:rPr>
          <w:rFonts w:ascii="Times New Roman" w:eastAsia="Times New Roman" w:hAnsi="Times New Roman" w:cs="Times New Roman"/>
          <w:sz w:val="24"/>
        </w:rPr>
        <w:t xml:space="preserve">, 2007. </w:t>
      </w:r>
    </w:p>
    <w:p w:rsidR="004900B3" w:rsidRDefault="00025727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Declaración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los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Derechos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del </w:t>
      </w:r>
      <w:r>
        <w:rPr>
          <w:rFonts w:ascii="Times New Roman" w:eastAsia="Times New Roman" w:hAnsi="Times New Roman" w:cs="Times New Roman"/>
          <w:b/>
          <w:sz w:val="24"/>
        </w:rPr>
        <w:tab/>
        <w:t>Hombre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ab/>
        <w:t xml:space="preserve">OEA, </w:t>
      </w:r>
      <w:hyperlink r:id="rId5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http://www.oas.org/es/cidh/mandato/Basicos/declaracion.asp</w:t>
        </w:r>
      </w:hyperlink>
      <w:hyperlink r:id="rId5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spacing w:after="14"/>
      </w:pPr>
      <w:r>
        <w:rPr>
          <w:rFonts w:ascii="Times New Roman" w:eastAsia="Times New Roman" w:hAnsi="Times New Roman" w:cs="Times New Roman"/>
          <w:i/>
          <w:color w:val="999999"/>
          <w:sz w:val="20"/>
        </w:rPr>
        <w:t xml:space="preserve"> </w:t>
      </w:r>
    </w:p>
    <w:p w:rsidR="004900B3" w:rsidRDefault="00025727">
      <w:pPr>
        <w:numPr>
          <w:ilvl w:val="0"/>
          <w:numId w:val="5"/>
        </w:numPr>
        <w:spacing w:after="4" w:line="249" w:lineRule="auto"/>
        <w:ind w:hanging="778"/>
      </w:pPr>
      <w:r>
        <w:rPr>
          <w:rFonts w:ascii="Times New Roman" w:eastAsia="Times New Roman" w:hAnsi="Times New Roman" w:cs="Times New Roman"/>
          <w:b/>
        </w:rPr>
        <w:t xml:space="preserve">METODOLOGÍA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Materia es de modalidad a distancia, a través del aula virtual Blackboard que contiene todo el material de la cursada por unidades temáticas. Las actividades están divididas en sincrónicas </w:t>
      </w:r>
      <w:r>
        <w:rPr>
          <w:rFonts w:ascii="Times New Roman" w:eastAsia="Times New Roman" w:hAnsi="Times New Roman" w:cs="Times New Roman"/>
          <w:sz w:val="24"/>
        </w:rPr>
        <w:t>y asincrónicas.  La dinámica de trabajo prevé para los encuentros sincrónicos, clases expositivas, espacio análisis de material bibliográfico, fílmico y de prensa, actividades y presentaciones individuales y grupales. Por su parte, para los encuentros asin</w:t>
      </w:r>
      <w:r>
        <w:rPr>
          <w:rFonts w:ascii="Times New Roman" w:eastAsia="Times New Roman" w:hAnsi="Times New Roman" w:cs="Times New Roman"/>
          <w:sz w:val="24"/>
        </w:rPr>
        <w:t xml:space="preserve">crónicos, se propondrán actividades relacionadas con temas de debate, trabajos prácticos y espacios de intercambio permanente.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900B3" w:rsidRDefault="00025727">
      <w:pPr>
        <w:numPr>
          <w:ilvl w:val="0"/>
          <w:numId w:val="5"/>
        </w:numPr>
        <w:spacing w:after="4" w:line="249" w:lineRule="auto"/>
        <w:ind w:hanging="778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No corresponde.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5"/>
        </w:numPr>
        <w:spacing w:after="4" w:line="249" w:lineRule="auto"/>
        <w:ind w:hanging="778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3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</w:rPr>
        <w:t>Se realizará a través de intercambio y participación durante los encuentros sincrónicos por parte de los/as estudiantes y la docente, con una parte expositiva de temas teóricos y luego una segunda parte en trabajo grupal y colaborativo. A través de las act</w:t>
      </w:r>
      <w:r>
        <w:rPr>
          <w:rFonts w:ascii="Times New Roman" w:eastAsia="Times New Roman" w:hAnsi="Times New Roman" w:cs="Times New Roman"/>
        </w:rPr>
        <w:t xml:space="preserve">ividades asincrónicas, se profundizarán los contenidos, para asociar todos los temas. Se desarrollarán consignas para trabajos prácticos.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900B3" w:rsidRDefault="00025727">
      <w:pPr>
        <w:numPr>
          <w:ilvl w:val="0"/>
          <w:numId w:val="5"/>
        </w:numPr>
        <w:spacing w:after="4" w:line="249" w:lineRule="auto"/>
        <w:ind w:hanging="778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</w:rPr>
        <w:t>La docente supervisará y garantizará el seguimiento de los aprendizajes de las/os e</w:t>
      </w:r>
      <w:r>
        <w:rPr>
          <w:rFonts w:ascii="Times New Roman" w:eastAsia="Times New Roman" w:hAnsi="Times New Roman" w:cs="Times New Roman"/>
        </w:rPr>
        <w:t>studiantes por medio de la corrección y retroalimentación. Se requiere el involucramiento autogestionado y participativo de los/as estudiantes, que posibilite interacción continua.  El alumnado será evaluado por su participación activa durante las clases a</w:t>
      </w:r>
      <w:r>
        <w:rPr>
          <w:rFonts w:ascii="Times New Roman" w:eastAsia="Times New Roman" w:hAnsi="Times New Roman" w:cs="Times New Roman"/>
        </w:rPr>
        <w:t xml:space="preserve"> lo largo de la cursada.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</w:rPr>
        <w:t xml:space="preserve">Para la aprobación final de la materia se requerirá a los estudiantes que elaboren una presentación de  un tema de interés del programa y tendrá en cuenta también la entrega de trabajos prácticos en tiempo y forma.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4900B3" w:rsidRDefault="00025727">
      <w:pPr>
        <w:numPr>
          <w:ilvl w:val="0"/>
          <w:numId w:val="5"/>
        </w:numPr>
        <w:spacing w:after="4" w:line="249" w:lineRule="auto"/>
        <w:ind w:hanging="778"/>
      </w:pPr>
      <w:r>
        <w:rPr>
          <w:rFonts w:ascii="Times New Roman" w:eastAsia="Times New Roman" w:hAnsi="Times New Roman" w:cs="Times New Roman"/>
          <w:b/>
        </w:rPr>
        <w:t>BIBLIOGR</w:t>
      </w:r>
      <w:r>
        <w:rPr>
          <w:rFonts w:ascii="Times New Roman" w:eastAsia="Times New Roman" w:hAnsi="Times New Roman" w:cs="Times New Roman"/>
          <w:b/>
        </w:rPr>
        <w:t>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1"/>
      </w:pPr>
      <w:r>
        <w:rPr>
          <w:rFonts w:ascii="Times New Roman" w:eastAsia="Times New Roman" w:hAnsi="Times New Roman" w:cs="Times New Roman"/>
          <w:u w:val="single" w:color="000000"/>
        </w:rPr>
        <w:t>UNIDAD I: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Cassin, René</w:t>
      </w:r>
      <w:r>
        <w:rPr>
          <w:rFonts w:ascii="Times New Roman" w:eastAsia="Times New Roman" w:hAnsi="Times New Roman" w:cs="Times New Roman"/>
        </w:rPr>
        <w:t xml:space="preserve"> (1972). Pensée et l’action, Editions F. Lalou, Francia. Capítulos: La tradición Liberal Occidental (p. 139). La historia de la Declaración de los Derechos Humanos (p. 103).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OHCHR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  <w:t xml:space="preserve">Preguntas </w:t>
      </w:r>
      <w:r>
        <w:rPr>
          <w:rFonts w:ascii="Times New Roman" w:eastAsia="Times New Roman" w:hAnsi="Times New Roman" w:cs="Times New Roman"/>
        </w:rPr>
        <w:tab/>
        <w:t xml:space="preserve">frecuentes </w:t>
      </w:r>
      <w:r>
        <w:rPr>
          <w:rFonts w:ascii="Times New Roman" w:eastAsia="Times New Roman" w:hAnsi="Times New Roman" w:cs="Times New Roman"/>
        </w:rPr>
        <w:tab/>
        <w:t xml:space="preserve">sobre </w:t>
      </w:r>
      <w:r>
        <w:rPr>
          <w:rFonts w:ascii="Times New Roman" w:eastAsia="Times New Roman" w:hAnsi="Times New Roman" w:cs="Times New Roman"/>
        </w:rPr>
        <w:tab/>
        <w:t xml:space="preserve">Derechos </w:t>
      </w:r>
      <w:r>
        <w:rPr>
          <w:rFonts w:ascii="Times New Roman" w:eastAsia="Times New Roman" w:hAnsi="Times New Roman" w:cs="Times New Roman"/>
        </w:rPr>
        <w:tab/>
        <w:t xml:space="preserve">Económicos, </w:t>
      </w:r>
      <w:r>
        <w:rPr>
          <w:rFonts w:ascii="Times New Roman" w:eastAsia="Times New Roman" w:hAnsi="Times New Roman" w:cs="Times New Roman"/>
        </w:rPr>
        <w:tab/>
        <w:t xml:space="preserve">Sociales </w:t>
      </w:r>
      <w:r>
        <w:rPr>
          <w:rFonts w:ascii="Times New Roman" w:eastAsia="Times New Roman" w:hAnsi="Times New Roman" w:cs="Times New Roman"/>
        </w:rPr>
        <w:tab/>
        <w:t xml:space="preserve">y </w:t>
      </w:r>
      <w:r>
        <w:rPr>
          <w:rFonts w:ascii="Times New Roman" w:eastAsia="Times New Roman" w:hAnsi="Times New Roman" w:cs="Times New Roman"/>
        </w:rPr>
        <w:tab/>
        <w:t xml:space="preserve">Culturales: </w:t>
      </w:r>
      <w:hyperlink r:id="rId6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http://www.ohchr.org/Documents/Publications/FS33_sp.pdf</w:t>
        </w:r>
      </w:hyperlink>
      <w:hyperlink r:id="rId6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ONU</w:t>
      </w:r>
      <w:r>
        <w:rPr>
          <w:rFonts w:ascii="Times New Roman" w:eastAsia="Times New Roman" w:hAnsi="Times New Roman" w:cs="Times New Roman"/>
        </w:rPr>
        <w:t xml:space="preserve"> (2015). Objetivos de Desarrollo del Milenio. Resumen Ejecutivo. Nueva York. Naciones Unidas (2000). Declaración del Milenio. Asamblea General, año 2000.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Sandra M. Almeyda</w:t>
      </w:r>
      <w:r>
        <w:rPr>
          <w:rFonts w:ascii="Times New Roman" w:eastAsia="Times New Roman" w:hAnsi="Times New Roman" w:cs="Times New Roman"/>
        </w:rPr>
        <w:t>, La declaración universal de los derechos huma</w:t>
      </w:r>
      <w:r>
        <w:rPr>
          <w:rFonts w:ascii="Times New Roman" w:eastAsia="Times New Roman" w:hAnsi="Times New Roman" w:cs="Times New Roman"/>
        </w:rPr>
        <w:t xml:space="preserve">nos: ¿un intento imperialista de Occidente?, Revista Placet Diplomática, Buenos Aires, 2015.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Mustapha Chérif</w:t>
      </w:r>
      <w:r>
        <w:rPr>
          <w:rFonts w:ascii="Times New Roman" w:eastAsia="Times New Roman" w:hAnsi="Times New Roman" w:cs="Times New Roman"/>
        </w:rPr>
        <w:t xml:space="preserve"> (2006). El Islam y Occidente. Encuentro con Jacques Derrida, Ed. Nueva Visión, Buenos Aires.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4900B3" w:rsidRDefault="00025727">
      <w:pPr>
        <w:spacing w:after="0" w:line="267" w:lineRule="auto"/>
        <w:ind w:right="9"/>
      </w:pPr>
      <w:r>
        <w:rPr>
          <w:rFonts w:ascii="Times New Roman" w:eastAsia="Times New Roman" w:hAnsi="Times New Roman" w:cs="Times New Roman"/>
          <w:u w:val="single" w:color="000000"/>
        </w:rPr>
        <w:t>UNIDAD II: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Mathieu Ichou, Anne Goujon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(2017). Le niveau d’instruction des immigrés: varié et souvent plus élevé que dans </w:t>
      </w:r>
      <w:r>
        <w:rPr>
          <w:rFonts w:ascii="Times New Roman" w:eastAsia="Times New Roman" w:hAnsi="Times New Roman" w:cs="Times New Roman"/>
        </w:rPr>
        <w:tab/>
        <w:t xml:space="preserve">les </w:t>
      </w:r>
      <w:r>
        <w:rPr>
          <w:rFonts w:ascii="Times New Roman" w:eastAsia="Times New Roman" w:hAnsi="Times New Roman" w:cs="Times New Roman"/>
        </w:rPr>
        <w:tab/>
        <w:t xml:space="preserve">pays </w:t>
      </w:r>
      <w:r>
        <w:rPr>
          <w:rFonts w:ascii="Times New Roman" w:eastAsia="Times New Roman" w:hAnsi="Times New Roman" w:cs="Times New Roman"/>
        </w:rPr>
        <w:tab/>
        <w:t xml:space="preserve">d’origine. </w:t>
      </w:r>
      <w:r>
        <w:rPr>
          <w:rFonts w:ascii="Times New Roman" w:eastAsia="Times New Roman" w:hAnsi="Times New Roman" w:cs="Times New Roman"/>
        </w:rPr>
        <w:tab/>
        <w:t xml:space="preserve">Population </w:t>
      </w:r>
      <w:r>
        <w:rPr>
          <w:rFonts w:ascii="Times New Roman" w:eastAsia="Times New Roman" w:hAnsi="Times New Roman" w:cs="Times New Roman"/>
        </w:rPr>
        <w:tab/>
        <w:t xml:space="preserve">et </w:t>
      </w:r>
      <w:r>
        <w:rPr>
          <w:rFonts w:ascii="Times New Roman" w:eastAsia="Times New Roman" w:hAnsi="Times New Roman" w:cs="Times New Roman"/>
        </w:rPr>
        <w:tab/>
        <w:t xml:space="preserve">sociétés 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:rsidR="004900B3" w:rsidRDefault="00025727">
      <w:pPr>
        <w:spacing w:after="0" w:line="251" w:lineRule="auto"/>
        <w:ind w:left="-3" w:hanging="10"/>
      </w:pPr>
      <w:hyperlink r:id="rId6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https://www.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ined.fr/fichier/s_rubrique/26275/541.population.societes.2017.fevrier.fr.pdf</w:t>
        </w:r>
      </w:hyperlink>
      <w:hyperlink r:id="rId63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4900B3" w:rsidRDefault="00025727">
      <w:pPr>
        <w:spacing w:after="1" w:line="239" w:lineRule="auto"/>
        <w:ind w:left="-3" w:right="-10" w:hanging="12"/>
        <w:jc w:val="both"/>
      </w:pPr>
      <w:r>
        <w:rPr>
          <w:rFonts w:ascii="Times New Roman" w:eastAsia="Times New Roman" w:hAnsi="Times New Roman" w:cs="Times New Roman"/>
          <w:b/>
        </w:rPr>
        <w:t>Hans Kundnani &amp; Astrid Ziebarth</w:t>
      </w:r>
      <w:r>
        <w:rPr>
          <w:rFonts w:ascii="Times New Roman" w:eastAsia="Times New Roman" w:hAnsi="Times New Roman" w:cs="Times New Roman"/>
        </w:rPr>
        <w:t>, Entre l’Allemagne et la Turquie, l’</w:t>
      </w:r>
      <w:r>
        <w:rPr>
          <w:rFonts w:ascii="Times New Roman" w:eastAsia="Times New Roman" w:hAnsi="Times New Roman" w:cs="Times New Roman"/>
        </w:rPr>
        <w:t xml:space="preserve">enjeu des réfugiés. LE MONDE DIPLOMATIQUE. </w:t>
      </w:r>
      <w:hyperlink r:id="rId6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https://www.monde</w:t>
        </w:r>
      </w:hyperlink>
      <w:hyperlink r:id="rId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6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diplomatique.fr/2017/01/KUNDNANI/56972</w:t>
        </w:r>
      </w:hyperlink>
      <w:hyperlink r:id="rId67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4900B3" w:rsidRDefault="00025727">
      <w:pPr>
        <w:spacing w:after="0" w:line="251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>Julien Boyadjian</w:t>
      </w:r>
      <w:r>
        <w:rPr>
          <w:rFonts w:ascii="Times New Roman" w:eastAsia="Times New Roman" w:hAnsi="Times New Roman" w:cs="Times New Roman"/>
        </w:rPr>
        <w:t xml:space="preserve">: Analyser les opinions politiques sur internet. </w:t>
      </w:r>
      <w:hyperlink r:id="rId6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http://www.laviedesidees.fr/La</w:t>
        </w:r>
      </w:hyperlink>
      <w:hyperlink r:id="rId6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7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politique</w:t>
        </w:r>
      </w:hyperlink>
      <w:hyperlink r:id="rId7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7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</w:t>
        </w:r>
      </w:hyperlink>
      <w:hyperlink r:id="rId73"/>
      <w:hyperlink r:id="rId7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140</w:t>
        </w:r>
      </w:hyperlink>
      <w:hyperlink r:id="rId7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7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caracteres.html</w:t>
        </w:r>
      </w:hyperlink>
      <w:hyperlink r:id="rId77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6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numPr>
          <w:ilvl w:val="0"/>
          <w:numId w:val="6"/>
        </w:numPr>
        <w:spacing w:after="4" w:line="249" w:lineRule="auto"/>
        <w:ind w:hanging="723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p w:rsidR="004900B3" w:rsidRDefault="00025727">
      <w:pPr>
        <w:pStyle w:val="Ttulo1"/>
        <w:ind w:left="10" w:right="10"/>
      </w:pPr>
      <w:r>
        <w:t xml:space="preserve">ANEXO  DE PROPUESTAS A DISTANCIA 2024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11" w:type="dxa"/>
        <w:tblInd w:w="-91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2626"/>
        <w:gridCol w:w="4937"/>
      </w:tblGrid>
      <w:tr w:rsidR="004900B3">
        <w:trPr>
          <w:trHeight w:val="463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TOTAL DE HS. INTERACCIÓ</w:t>
            </w:r>
            <w:r>
              <w:rPr>
                <w:rFonts w:ascii="Times New Roman" w:eastAsia="Times New Roman" w:hAnsi="Times New Roman" w:cs="Times New Roman"/>
                <w:b/>
              </w:rPr>
              <w:t>N PEDAGÓGICA: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2hs </w:t>
            </w:r>
          </w:p>
        </w:tc>
      </w:tr>
      <w:tr w:rsidR="004900B3">
        <w:trPr>
          <w:trHeight w:val="46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DOCENTE: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MG. SANDRA M. ALMEYDA </w:t>
            </w:r>
          </w:p>
        </w:tc>
      </w:tr>
      <w:tr w:rsidR="004900B3">
        <w:trPr>
          <w:trHeight w:val="463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IDIOMA: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Español </w:t>
            </w:r>
          </w:p>
        </w:tc>
      </w:tr>
      <w:tr w:rsidR="004900B3">
        <w:trPr>
          <w:trHeight w:val="462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AÑO ACADÉMICO: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</w:tr>
      <w:tr w:rsidR="004900B3">
        <w:trPr>
          <w:trHeight w:val="517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:rsidR="004900B3" w:rsidRDefault="00025727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HORARIOS DE DICTADO/ENCUENTROS SINCRÓNICOS: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B3" w:rsidRDefault="0002572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Miércoles 18/ 20hs </w:t>
            </w:r>
          </w:p>
        </w:tc>
      </w:tr>
    </w:tbl>
    <w:p w:rsidR="004900B3" w:rsidRDefault="00025727">
      <w:pPr>
        <w:spacing w:after="19"/>
      </w:pPr>
      <w:r>
        <w:rPr>
          <w:rFonts w:ascii="Arial" w:eastAsia="Arial" w:hAnsi="Arial" w:cs="Arial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900B3" w:rsidRDefault="0002572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Dinámica de cursada: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4900B3" w:rsidRDefault="00025727">
      <w:pPr>
        <w:spacing w:after="13" w:line="249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(Corresponde completar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si la materia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es a distancia)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Describa las actividades prácticas desarrolladas en la actividad curricular, indicando: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-Modalidad de cursada: A distancia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0B3" w:rsidRDefault="00025727">
      <w:pPr>
        <w:spacing w:after="1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Entorno virtual: Blackboard </w:t>
      </w:r>
    </w:p>
    <w:p w:rsidR="004900B3" w:rsidRDefault="00025727">
      <w:pPr>
        <w:spacing w:after="3"/>
      </w:pPr>
      <w:r>
        <w:rPr>
          <w:rFonts w:ascii="Arial" w:eastAsia="Arial" w:hAnsi="Arial" w:cs="Arial"/>
          <w:sz w:val="24"/>
        </w:rPr>
        <w:t xml:space="preserve"> </w:t>
      </w:r>
    </w:p>
    <w:p w:rsidR="004900B3" w:rsidRDefault="00025727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900B3" w:rsidRDefault="0002572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Actividades de formación práctica </w:t>
      </w:r>
    </w:p>
    <w:p w:rsidR="004900B3" w:rsidRDefault="00025727">
      <w:pPr>
        <w:tabs>
          <w:tab w:val="center" w:pos="8008"/>
        </w:tabs>
        <w:spacing w:after="13" w:line="249" w:lineRule="auto"/>
        <w:ind w:left="-1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(Corresponde completar si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la carrera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es a distancia)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br w:type="page"/>
      </w:r>
    </w:p>
    <w:p w:rsidR="004900B3" w:rsidRDefault="004900B3">
      <w:pPr>
        <w:spacing w:after="0"/>
        <w:ind w:left="-1130" w:right="650"/>
      </w:pPr>
    </w:p>
    <w:tbl>
      <w:tblPr>
        <w:tblStyle w:val="TableGrid"/>
        <w:tblW w:w="9267" w:type="dxa"/>
        <w:tblInd w:w="-270" w:type="dxa"/>
        <w:tblCellMar>
          <w:top w:w="72" w:type="dxa"/>
          <w:left w:w="37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458"/>
        <w:gridCol w:w="1425"/>
        <w:gridCol w:w="1831"/>
        <w:gridCol w:w="1620"/>
        <w:gridCol w:w="1933"/>
      </w:tblGrid>
      <w:tr w:rsidR="004900B3">
        <w:trPr>
          <w:trHeight w:val="1364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Actividad pre</w:t>
            </w:r>
            <w:r>
              <w:rPr>
                <w:rFonts w:ascii="Arial" w:eastAsia="Arial" w:hAnsi="Arial" w:cs="Arial"/>
                <w:sz w:val="20"/>
              </w:rPr>
              <w:t>vist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4900B3" w:rsidRDefault="000257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Tipo de intercambio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Recursos tecnológicos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Objetivo de aprendizaje 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900B3" w:rsidRDefault="00025727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Evaluación </w:t>
            </w:r>
          </w:p>
        </w:tc>
      </w:tr>
      <w:tr w:rsidR="004900B3">
        <w:trPr>
          <w:trHeight w:val="592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Contenidos: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Unidad 1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293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Consigna: </w:t>
            </w:r>
          </w:p>
          <w:p w:rsidR="004900B3" w:rsidRDefault="00025727">
            <w:pPr>
              <w:numPr>
                <w:ilvl w:val="0"/>
                <w:numId w:val="7"/>
              </w:numPr>
              <w:spacing w:after="281" w:line="238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Ingresar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los links del World Economic Forum brindados por la cátedra as páginas para hacer un análisis del concepto de policrisis. </w:t>
            </w:r>
          </w:p>
          <w:p w:rsidR="004900B3" w:rsidRDefault="00025727">
            <w:pPr>
              <w:numPr>
                <w:ilvl w:val="0"/>
                <w:numId w:val="7"/>
              </w:numPr>
              <w:spacing w:after="278" w:line="238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Buscar informes adicionales. </w:t>
            </w:r>
          </w:p>
          <w:p w:rsidR="004900B3" w:rsidRDefault="00025727">
            <w:pPr>
              <w:numPr>
                <w:ilvl w:val="0"/>
                <w:numId w:val="7"/>
              </w:numPr>
              <w:spacing w:after="247" w:line="238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Leer los documentos, analizar e intercambiar en grupo los principales datos. 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17"/>
              <w:ind w:left="1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9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right="3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Sincrónico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20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9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7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19"/>
              <w:ind w:left="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17"/>
              <w:ind w:left="70"/>
            </w:pPr>
            <w:r>
              <w:rPr>
                <w:rFonts w:ascii="Arial" w:eastAsia="Arial" w:hAnsi="Arial" w:cs="Arial"/>
                <w:i/>
                <w:sz w:val="20"/>
              </w:rPr>
              <w:t xml:space="preserve">Acceso a Internet. </w:t>
            </w:r>
          </w:p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Búsqueda y exploración en </w:t>
            </w:r>
          </w:p>
          <w:p w:rsidR="004900B3" w:rsidRDefault="00025727">
            <w:pPr>
              <w:spacing w:after="332"/>
              <w:ind w:left="127"/>
            </w:pPr>
            <w:r>
              <w:rPr>
                <w:rFonts w:ascii="Arial" w:eastAsia="Arial" w:hAnsi="Arial" w:cs="Arial"/>
                <w:i/>
                <w:sz w:val="20"/>
              </w:rPr>
              <w:t xml:space="preserve">páginas virtuales </w:t>
            </w:r>
          </w:p>
          <w:p w:rsidR="004900B3" w:rsidRDefault="00025727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Conexión a internet, informes de diversos </w:t>
            </w:r>
          </w:p>
          <w:p w:rsidR="004900B3" w:rsidRDefault="00025727">
            <w:pPr>
              <w:spacing w:after="225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organismos. </w:t>
            </w:r>
          </w:p>
          <w:p w:rsidR="004900B3" w:rsidRDefault="0002572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Que los estudiantes observen </w:t>
            </w:r>
          </w:p>
          <w:p w:rsidR="004900B3" w:rsidRDefault="00025727">
            <w:pPr>
              <w:spacing w:after="3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algunos de los efectos de la </w:t>
            </w:r>
          </w:p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crisis económica mundial y los conflictos </w:t>
            </w:r>
          </w:p>
          <w:p w:rsidR="004900B3" w:rsidRDefault="00025727">
            <w:pPr>
              <w:spacing w:after="2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armados, como un conjunto de </w:t>
            </w:r>
          </w:p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riesgos globales relacionados entre sí. 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 w:line="277" w:lineRule="auto"/>
              <w:ind w:left="1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La actividad evaluará el nivel de análisis y </w:t>
            </w:r>
          </w:p>
          <w:p w:rsidR="004900B3" w:rsidRDefault="00025727">
            <w:pPr>
              <w:spacing w:after="0"/>
              <w:ind w:left="35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pensamiento crítico. </w:t>
            </w:r>
          </w:p>
        </w:tc>
      </w:tr>
      <w:tr w:rsidR="004900B3">
        <w:trPr>
          <w:trHeight w:val="3687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Contenidos: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Unidad 1 </w:t>
            </w:r>
          </w:p>
          <w:p w:rsidR="004900B3" w:rsidRDefault="00025727">
            <w:pPr>
              <w:spacing w:after="3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0"/>
              <w:ind w:left="2" w:hanging="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Consigna: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analizar noticias </w:t>
            </w:r>
            <w:r>
              <w:rPr>
                <w:rFonts w:ascii="Times New Roman" w:eastAsia="Times New Roman" w:hAnsi="Times New Roman" w:cs="Times New Roman"/>
                <w:sz w:val="24"/>
              </w:rPr>
              <w:t>que incluyan datos de actualidad acerca de la policrisis.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0"/>
              </w:rPr>
              <w:t xml:space="preserve">Asincrónico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Observación, lectura, análisis y redacción.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17"/>
              <w:ind w:right="3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Que puedan </w:t>
            </w:r>
          </w:p>
          <w:p w:rsidR="004900B3" w:rsidRDefault="00025727">
            <w:pPr>
              <w:spacing w:after="17"/>
              <w:ind w:left="23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hacer un análisis </w:t>
            </w:r>
          </w:p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y asociación de nueva  </w:t>
            </w:r>
          </w:p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información y de datos nuevos.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La actividad se evaluará el nivel de análisis y </w:t>
            </w:r>
          </w:p>
          <w:p w:rsidR="004900B3" w:rsidRDefault="00025727">
            <w:pPr>
              <w:spacing w:after="0"/>
              <w:ind w:left="35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pensamiento crítico. </w:t>
            </w:r>
          </w:p>
        </w:tc>
      </w:tr>
      <w:tr w:rsidR="004900B3">
        <w:trPr>
          <w:trHeight w:val="3684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Contenidos: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Unidad 2 </w:t>
            </w:r>
          </w:p>
          <w:p w:rsidR="004900B3" w:rsidRDefault="00025727">
            <w:pPr>
              <w:spacing w:after="314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900B3" w:rsidRDefault="0002572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Consigna: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clasificar tipología de derechos humanos sobre películas, artículos de diarios, informes de organismos.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Asincrónico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  <w:ind w:left="94"/>
            </w:pPr>
            <w:r>
              <w:rPr>
                <w:rFonts w:ascii="Arial" w:eastAsia="Arial" w:hAnsi="Arial" w:cs="Arial"/>
                <w:i/>
                <w:sz w:val="20"/>
              </w:rPr>
              <w:t xml:space="preserve">Acceso a Internet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17"/>
              <w:ind w:right="3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Que puedan </w:t>
            </w:r>
          </w:p>
          <w:p w:rsidR="004900B3" w:rsidRDefault="00025727">
            <w:pPr>
              <w:spacing w:after="0" w:line="278" w:lineRule="auto"/>
              <w:ind w:left="6" w:hanging="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hacer un análisis y asociación de temas desde la </w:t>
            </w:r>
          </w:p>
          <w:p w:rsidR="004900B3" w:rsidRDefault="00025727">
            <w:pPr>
              <w:spacing w:after="0" w:line="277" w:lineRule="auto"/>
              <w:ind w:left="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teoría aplicados a situaciones </w:t>
            </w:r>
          </w:p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concretas de la realidad.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2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La actividad se evaluará </w:t>
            </w:r>
          </w:p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comprensión teórica y nivel de análisis y pensamiento crítico. </w:t>
            </w:r>
          </w:p>
        </w:tc>
      </w:tr>
      <w:tr w:rsidR="004900B3">
        <w:trPr>
          <w:trHeight w:val="3687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Contenidos: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00B3" w:rsidRDefault="00025727">
            <w:pPr>
              <w:spacing w:after="313"/>
            </w:pPr>
            <w:r>
              <w:rPr>
                <w:rFonts w:ascii="Arial" w:eastAsia="Arial" w:hAnsi="Arial" w:cs="Arial"/>
                <w:i/>
                <w:sz w:val="20"/>
              </w:rPr>
              <w:t xml:space="preserve">Unidad 3 </w:t>
            </w:r>
          </w:p>
          <w:p w:rsidR="004900B3" w:rsidRDefault="00025727">
            <w:pPr>
              <w:spacing w:after="245" w:line="240" w:lineRule="auto"/>
              <w:ind w:left="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Consigna: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presentar un derecho humano puntual. </w:t>
            </w:r>
          </w:p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Sincrónica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Acceso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 Internet y PPT.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19"/>
              <w:ind w:right="3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Que puedan </w:t>
            </w:r>
          </w:p>
          <w:p w:rsidR="004900B3" w:rsidRDefault="00025727">
            <w:pPr>
              <w:spacing w:after="17"/>
              <w:ind w:left="19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hacer un análisis </w:t>
            </w:r>
          </w:p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y asociación del deber ser de </w:t>
            </w:r>
          </w:p>
          <w:p w:rsidR="004900B3" w:rsidRDefault="00025727">
            <w:pPr>
              <w:spacing w:after="17"/>
              <w:ind w:right="35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instrumentos </w:t>
            </w:r>
          </w:p>
          <w:p w:rsidR="004900B3" w:rsidRDefault="00025727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jurídicos versus mundo real.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0B3" w:rsidRDefault="00025727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La actividad se evaluará </w:t>
            </w:r>
          </w:p>
          <w:p w:rsidR="004900B3" w:rsidRDefault="00025727">
            <w:pPr>
              <w:spacing w:after="0"/>
              <w:ind w:left="3" w:hanging="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comprensión teórica y nivel de análisis y pensamiento crítico </w:t>
            </w:r>
          </w:p>
        </w:tc>
      </w:tr>
    </w:tbl>
    <w:p w:rsidR="004900B3" w:rsidRDefault="00025727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900B3">
      <w:footerReference w:type="even" r:id="rId78"/>
      <w:footerReference w:type="default" r:id="rId79"/>
      <w:footerReference w:type="first" r:id="rId80"/>
      <w:footnotePr>
        <w:numRestart w:val="eachPage"/>
      </w:footnotePr>
      <w:pgSz w:w="11906" w:h="16838"/>
      <w:pgMar w:top="1423" w:right="1128" w:bottom="1517" w:left="1130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5727">
      <w:pPr>
        <w:spacing w:after="0" w:line="240" w:lineRule="auto"/>
      </w:pPr>
      <w:r>
        <w:separator/>
      </w:r>
    </w:p>
  </w:endnote>
  <w:endnote w:type="continuationSeparator" w:id="0">
    <w:p w:rsidR="00000000" w:rsidRDefault="0002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B3" w:rsidRDefault="00025727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900B3" w:rsidRDefault="0002572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B3" w:rsidRDefault="00025727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25727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900B3" w:rsidRDefault="0002572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B3" w:rsidRDefault="00025727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4900B3" w:rsidRDefault="0002572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B3" w:rsidRDefault="00025727">
      <w:pPr>
        <w:spacing w:after="0" w:line="260" w:lineRule="auto"/>
        <w:ind w:left="2" w:right="9" w:hanging="2"/>
        <w:jc w:val="both"/>
      </w:pPr>
      <w:r>
        <w:separator/>
      </w:r>
    </w:p>
  </w:footnote>
  <w:footnote w:type="continuationSeparator" w:id="0">
    <w:p w:rsidR="004900B3" w:rsidRDefault="00025727">
      <w:pPr>
        <w:spacing w:after="0" w:line="260" w:lineRule="auto"/>
        <w:ind w:left="2" w:right="9" w:hanging="2"/>
        <w:jc w:val="both"/>
      </w:pPr>
      <w:r>
        <w:continuationSeparator/>
      </w:r>
    </w:p>
  </w:footnote>
  <w:footnote w:id="1">
    <w:p w:rsidR="004900B3" w:rsidRDefault="0002572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 xml:space="preserve">Según el Anexo de la Resolución Ministerial 2598/2023, </w:t>
      </w:r>
      <w:r>
        <w:t xml:space="preserve">“el CRE se define como la unidad de tiempo total de trabajo académico que dedican los/as estudiantes para alcanzar los objetivos formativos de cada una de las unidades y/o actividades curriculares que componen el plan de estudios. En esta unidad de tiempo </w:t>
      </w:r>
      <w:r>
        <w:t>se incluyen: a) las horas de docencia o interacción pedagógica docente-estudiantes, independientemente de la modalidad, y b) las horas de trabajo autónomo del estudiante que son adicionales a las de docencia o interacción docente-estudiantes. (...) El valo</w:t>
      </w:r>
      <w:r>
        <w:t xml:space="preserve">r asignado a cada CRE será de 25 (VEINTICINCO) horas de trabajo total del/la estudiante.” </w:t>
      </w:r>
    </w:p>
    <w:p w:rsidR="004900B3" w:rsidRDefault="00025727">
      <w:pPr>
        <w:pStyle w:val="footnotedescription"/>
        <w:spacing w:line="259" w:lineRule="auto"/>
        <w:ind w:left="0" w:right="0" w:firstLine="0"/>
        <w:jc w:val="left"/>
      </w:pPr>
      <w:r>
        <w:rPr>
          <w:i w:val="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19D"/>
    <w:multiLevelType w:val="hybridMultilevel"/>
    <w:tmpl w:val="ADA4F33E"/>
    <w:lvl w:ilvl="0" w:tplc="3C5A93C2">
      <w:start w:val="1"/>
      <w:numFmt w:val="low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80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2A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806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EB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AA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EA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F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E8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85603"/>
    <w:multiLevelType w:val="hybridMultilevel"/>
    <w:tmpl w:val="0630C946"/>
    <w:lvl w:ilvl="0" w:tplc="FAA2E54C">
      <w:start w:val="12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CF1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AC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08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83A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09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68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29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26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A0205"/>
    <w:multiLevelType w:val="hybridMultilevel"/>
    <w:tmpl w:val="4B4E4EE2"/>
    <w:lvl w:ilvl="0" w:tplc="C688F6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0A1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2E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C42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F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6C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419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0BA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EFC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45C61"/>
    <w:multiLevelType w:val="hybridMultilevel"/>
    <w:tmpl w:val="7FBE3AF2"/>
    <w:lvl w:ilvl="0" w:tplc="BE542CE6">
      <w:start w:val="7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A3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CC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64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0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44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44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AB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21FE5"/>
    <w:multiLevelType w:val="hybridMultilevel"/>
    <w:tmpl w:val="91085F04"/>
    <w:lvl w:ilvl="0" w:tplc="AB38EE8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0414E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EBB9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62B10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E6C52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244DA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721C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8C996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6DD2C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E55ED8"/>
    <w:multiLevelType w:val="hybridMultilevel"/>
    <w:tmpl w:val="92206DA2"/>
    <w:lvl w:ilvl="0" w:tplc="4BAA43B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26CF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258CE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E9450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4F74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A74E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ED3EA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A0956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A6E7C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6E79FA"/>
    <w:multiLevelType w:val="hybridMultilevel"/>
    <w:tmpl w:val="9BCA143C"/>
    <w:lvl w:ilvl="0" w:tplc="8D86E22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2D6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2F21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E8C6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013D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CB0B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4C14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AE4E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E883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B3"/>
    <w:rsid w:val="00025727"/>
    <w:rsid w:val="004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2AB6"/>
  <w15:docId w15:val="{13A47312-5AB3-42E4-81C8-663355A4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2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0" w:lineRule="auto"/>
      <w:ind w:left="2" w:right="9" w:hanging="2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2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forum.org/publications/global-risks-report-2026/in-full/global-risks-report-2026-chapter-1/" TargetMode="External"/><Relationship Id="rId21" Type="http://schemas.openxmlformats.org/officeDocument/2006/relationships/hyperlink" Target="https://www.weforum.org/publications/global-risks-report-2026/in-full/global-risks-report-2026-chapter-1/" TargetMode="External"/><Relationship Id="rId42" Type="http://schemas.openxmlformats.org/officeDocument/2006/relationships/hyperlink" Target="https://securityconference.org/en/publications/munich-security-report/2026/executive-summary/" TargetMode="External"/><Relationship Id="rId47" Type="http://schemas.openxmlformats.org/officeDocument/2006/relationships/hyperlink" Target="https://securityconference.org/en/publications/munich-security-report/2026/executive-summary/" TargetMode="External"/><Relationship Id="rId63" Type="http://schemas.openxmlformats.org/officeDocument/2006/relationships/hyperlink" Target="https://www.ined.fr/fichier/s_rubrique/26275/541.population.societes.2017.fevrier.fr.pdf" TargetMode="External"/><Relationship Id="rId68" Type="http://schemas.openxmlformats.org/officeDocument/2006/relationships/hyperlink" Target="http://www.laviedesidees.fr/La-politique-en-140-caracteres.html" TargetMode="External"/><Relationship Id="rId16" Type="http://schemas.openxmlformats.org/officeDocument/2006/relationships/hyperlink" Target="https://www.weforum.org/publications/global-risks-report-2026/in-full/global-risks-report-2026-chapter-1/" TargetMode="External"/><Relationship Id="rId11" Type="http://schemas.openxmlformats.org/officeDocument/2006/relationships/hyperlink" Target="https://www.weforum.org/publications/global-risks-report-2026/in-full/global-risks-report-2026-chapter-1/" TargetMode="External"/><Relationship Id="rId32" Type="http://schemas.openxmlformats.org/officeDocument/2006/relationships/hyperlink" Target="https://www.weforum.org/publications/global-risks-report-2026/in-full/global-risks-report-2026-chapter-1/" TargetMode="External"/><Relationship Id="rId37" Type="http://schemas.openxmlformats.org/officeDocument/2006/relationships/hyperlink" Target="https://www.weforum.org/publications/global-risks-report-2026/in-full/global-risks-report-2026-chapter-1/" TargetMode="External"/><Relationship Id="rId53" Type="http://schemas.openxmlformats.org/officeDocument/2006/relationships/hyperlink" Target="http://www.oic-oci.org/" TargetMode="External"/><Relationship Id="rId58" Type="http://schemas.openxmlformats.org/officeDocument/2006/relationships/hyperlink" Target="http://www.oas.org/es/cidh/mandato/Basicos/declaracion.asp" TargetMode="External"/><Relationship Id="rId74" Type="http://schemas.openxmlformats.org/officeDocument/2006/relationships/hyperlink" Target="http://www.laviedesidees.fr/La-politique-en-140-caracteres.html" TargetMode="External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www.ohchr.org/Documents/Publications/FS33_sp.pdf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weforum.org/publications/global-risks-report-2026/in-full/global-risks-report-2026-chapter-1/" TargetMode="External"/><Relationship Id="rId14" Type="http://schemas.openxmlformats.org/officeDocument/2006/relationships/hyperlink" Target="https://www.weforum.org/publications/global-risks-report-2026/in-full/global-risks-report-2026-chapter-1/" TargetMode="External"/><Relationship Id="rId22" Type="http://schemas.openxmlformats.org/officeDocument/2006/relationships/hyperlink" Target="https://www.weforum.org/publications/global-risks-report-2026/in-full/global-risks-report-2026-chapter-1/" TargetMode="External"/><Relationship Id="rId27" Type="http://schemas.openxmlformats.org/officeDocument/2006/relationships/hyperlink" Target="https://www.weforum.org/publications/global-risks-report-2026/in-full/global-risks-report-2026-chapter-1/" TargetMode="External"/><Relationship Id="rId30" Type="http://schemas.openxmlformats.org/officeDocument/2006/relationships/hyperlink" Target="https://www.weforum.org/publications/global-risks-report-2026/in-full/global-risks-report-2026-chapter-1/" TargetMode="External"/><Relationship Id="rId35" Type="http://schemas.openxmlformats.org/officeDocument/2006/relationships/hyperlink" Target="https://www.weforum.org/publications/global-risks-report-2026/in-full/global-risks-report-2026-chapter-1/" TargetMode="External"/><Relationship Id="rId43" Type="http://schemas.openxmlformats.org/officeDocument/2006/relationships/hyperlink" Target="https://securityconference.org/en/publications/munich-security-report/2026/executive-summary/" TargetMode="External"/><Relationship Id="rId48" Type="http://schemas.openxmlformats.org/officeDocument/2006/relationships/hyperlink" Target="https://www.oas.org/xxxivga/spanish/reference_docs/convencion_viena.pdf" TargetMode="External"/><Relationship Id="rId56" Type="http://schemas.openxmlformats.org/officeDocument/2006/relationships/hyperlink" Target="http://www.ohchr.org/SP/ProfessionalInterest/Pages/CESCR.aspx" TargetMode="External"/><Relationship Id="rId64" Type="http://schemas.openxmlformats.org/officeDocument/2006/relationships/hyperlink" Target="https://www.monde-diplomatique.fr/2017/01/KUNDNANI/56972" TargetMode="External"/><Relationship Id="rId69" Type="http://schemas.openxmlformats.org/officeDocument/2006/relationships/hyperlink" Target="http://www.laviedesidees.fr/La-politique-en-140-caracteres.html" TargetMode="External"/><Relationship Id="rId77" Type="http://schemas.openxmlformats.org/officeDocument/2006/relationships/hyperlink" Target="http://www.laviedesidees.fr/La-politique-en-140-caracteres.html" TargetMode="External"/><Relationship Id="rId8" Type="http://schemas.openxmlformats.org/officeDocument/2006/relationships/hyperlink" Target="https://reports.weforum.org/docs/GRR26_Press_Release_Spanish.pdf" TargetMode="External"/><Relationship Id="rId51" Type="http://schemas.openxmlformats.org/officeDocument/2006/relationships/hyperlink" Target="http://www.ohchr.org/EN/UDHR/Documents/UDHR_Translations/spn.pdf" TargetMode="External"/><Relationship Id="rId72" Type="http://schemas.openxmlformats.org/officeDocument/2006/relationships/hyperlink" Target="http://www.laviedesidees.fr/La-politique-en-140-caracteres.html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weforum.org/publications/global-risks-report-2026/in-full/global-risks-report-2026-chapter-1/" TargetMode="External"/><Relationship Id="rId17" Type="http://schemas.openxmlformats.org/officeDocument/2006/relationships/hyperlink" Target="https://www.weforum.org/publications/global-risks-report-2026/in-full/global-risks-report-2026-chapter-1/" TargetMode="External"/><Relationship Id="rId25" Type="http://schemas.openxmlformats.org/officeDocument/2006/relationships/hyperlink" Target="https://www.weforum.org/publications/global-risks-report-2026/in-full/global-risks-report-2026-chapter-1/" TargetMode="External"/><Relationship Id="rId33" Type="http://schemas.openxmlformats.org/officeDocument/2006/relationships/hyperlink" Target="https://www.weforum.org/publications/global-risks-report-2026/in-full/global-risks-report-2026-chapter-1/" TargetMode="External"/><Relationship Id="rId38" Type="http://schemas.openxmlformats.org/officeDocument/2006/relationships/hyperlink" Target="https://www.weforum.org/publications/global-risks-report-2026/in-full/global-risks-report-2026-chapter-1/" TargetMode="External"/><Relationship Id="rId46" Type="http://schemas.openxmlformats.org/officeDocument/2006/relationships/hyperlink" Target="https://securityconference.org/en/publications/munich-security-report/2026/executive-summary/" TargetMode="External"/><Relationship Id="rId59" Type="http://schemas.openxmlformats.org/officeDocument/2006/relationships/hyperlink" Target="http://www.oas.org/es/cidh/mandato/Basicos/declaracion.asp" TargetMode="External"/><Relationship Id="rId67" Type="http://schemas.openxmlformats.org/officeDocument/2006/relationships/hyperlink" Target="https://www.monde-diplomatique.fr/2017/01/KUNDNANI/56972" TargetMode="External"/><Relationship Id="rId20" Type="http://schemas.openxmlformats.org/officeDocument/2006/relationships/hyperlink" Target="https://www.weforum.org/publications/global-risks-report-2026/in-full/global-risks-report-2026-chapter-1/" TargetMode="External"/><Relationship Id="rId41" Type="http://schemas.openxmlformats.org/officeDocument/2006/relationships/hyperlink" Target="https://securityconference.org/en/publications/munich-security-report/2026/executive-summary/" TargetMode="External"/><Relationship Id="rId54" Type="http://schemas.openxmlformats.org/officeDocument/2006/relationships/hyperlink" Target="http://www.oic-oci.org/" TargetMode="External"/><Relationship Id="rId62" Type="http://schemas.openxmlformats.org/officeDocument/2006/relationships/hyperlink" Target="https://www.ined.fr/fichier/s_rubrique/26275/541.population.societes.2017.fevrier.fr.pdf" TargetMode="External"/><Relationship Id="rId70" Type="http://schemas.openxmlformats.org/officeDocument/2006/relationships/hyperlink" Target="http://www.laviedesidees.fr/La-politique-en-140-caracteres.html" TargetMode="External"/><Relationship Id="rId75" Type="http://schemas.openxmlformats.org/officeDocument/2006/relationships/hyperlink" Target="http://www.laviedesidees.fr/La-politique-en-140-caracter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eforum.org/publications/global-risks-report-2026/in-full/global-risks-report-2026-chapter-1/" TargetMode="External"/><Relationship Id="rId23" Type="http://schemas.openxmlformats.org/officeDocument/2006/relationships/hyperlink" Target="https://www.weforum.org/publications/global-risks-report-2026/in-full/global-risks-report-2026-chapter-1/" TargetMode="External"/><Relationship Id="rId28" Type="http://schemas.openxmlformats.org/officeDocument/2006/relationships/hyperlink" Target="https://www.weforum.org/publications/global-risks-report-2026/in-full/global-risks-report-2026-chapter-1/" TargetMode="External"/><Relationship Id="rId36" Type="http://schemas.openxmlformats.org/officeDocument/2006/relationships/hyperlink" Target="https://www.weforum.org/publications/global-risks-report-2026/in-full/global-risks-report-2026-chapter-1/" TargetMode="External"/><Relationship Id="rId49" Type="http://schemas.openxmlformats.org/officeDocument/2006/relationships/hyperlink" Target="https://www.oas.org/xxxivga/spanish/reference_docs/convencion_viena.pdf" TargetMode="External"/><Relationship Id="rId57" Type="http://schemas.openxmlformats.org/officeDocument/2006/relationships/hyperlink" Target="http://www.ohchr.org/SP/ProfessionalInterest/Pages/CESCR.aspx" TargetMode="External"/><Relationship Id="rId10" Type="http://schemas.openxmlformats.org/officeDocument/2006/relationships/hyperlink" Target="https://www.weforum.org/publications/global-risks-report-2026/in-full/global-risks-report-2026-chapter-1/" TargetMode="External"/><Relationship Id="rId31" Type="http://schemas.openxmlformats.org/officeDocument/2006/relationships/hyperlink" Target="https://www.weforum.org/publications/global-risks-report-2026/in-full/global-risks-report-2026-chapter-1/" TargetMode="External"/><Relationship Id="rId44" Type="http://schemas.openxmlformats.org/officeDocument/2006/relationships/hyperlink" Target="https://securityconference.org/en/publications/munich-security-report/2026/executive-summary/" TargetMode="External"/><Relationship Id="rId52" Type="http://schemas.openxmlformats.org/officeDocument/2006/relationships/hyperlink" Target="http://www.oic-oci.org/" TargetMode="External"/><Relationship Id="rId60" Type="http://schemas.openxmlformats.org/officeDocument/2006/relationships/hyperlink" Target="http://www.ohchr.org/Documents/Publications/FS33_sp.pdf" TargetMode="External"/><Relationship Id="rId65" Type="http://schemas.openxmlformats.org/officeDocument/2006/relationships/hyperlink" Target="https://www.monde-diplomatique.fr/2017/01/KUNDNANI/56972" TargetMode="External"/><Relationship Id="rId73" Type="http://schemas.openxmlformats.org/officeDocument/2006/relationships/hyperlink" Target="http://www.laviedesidees.fr/La-politique-en-140-caracteres.html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ports.weforum.org/docs/GRR26_Press_Release_Spanish.pdf" TargetMode="External"/><Relationship Id="rId13" Type="http://schemas.openxmlformats.org/officeDocument/2006/relationships/hyperlink" Target="https://www.weforum.org/publications/global-risks-report-2026/in-full/global-risks-report-2026-chapter-1/" TargetMode="External"/><Relationship Id="rId18" Type="http://schemas.openxmlformats.org/officeDocument/2006/relationships/hyperlink" Target="https://www.weforum.org/publications/global-risks-report-2026/in-full/global-risks-report-2026-chapter-1/" TargetMode="External"/><Relationship Id="rId39" Type="http://schemas.openxmlformats.org/officeDocument/2006/relationships/hyperlink" Target="https://www.weforum.org/publications/global-risks-report-2026/in-full/global-risks-report-2026-chapter-1/" TargetMode="External"/><Relationship Id="rId34" Type="http://schemas.openxmlformats.org/officeDocument/2006/relationships/hyperlink" Target="https://www.weforum.org/publications/global-risks-report-2026/in-full/global-risks-report-2026-chapter-1/" TargetMode="External"/><Relationship Id="rId50" Type="http://schemas.openxmlformats.org/officeDocument/2006/relationships/hyperlink" Target="http://www.ohchr.org/EN/UDHR/Documents/UDHR_Translations/spn.pdf" TargetMode="External"/><Relationship Id="rId55" Type="http://schemas.openxmlformats.org/officeDocument/2006/relationships/hyperlink" Target="http://www.oic-oci.org/" TargetMode="External"/><Relationship Id="rId76" Type="http://schemas.openxmlformats.org/officeDocument/2006/relationships/hyperlink" Target="http://www.laviedesidees.fr/La-politique-en-140-caracteres.html" TargetMode="External"/><Relationship Id="rId7" Type="http://schemas.openxmlformats.org/officeDocument/2006/relationships/image" Target="media/image1.jpg"/><Relationship Id="rId71" Type="http://schemas.openxmlformats.org/officeDocument/2006/relationships/hyperlink" Target="http://www.laviedesidees.fr/La-politique-en-140-caracteres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eforum.org/publications/global-risks-report-2026/in-full/global-risks-report-2026-chapter-1/" TargetMode="External"/><Relationship Id="rId24" Type="http://schemas.openxmlformats.org/officeDocument/2006/relationships/hyperlink" Target="https://www.weforum.org/publications/global-risks-report-2026/in-full/global-risks-report-2026-chapter-1/" TargetMode="External"/><Relationship Id="rId40" Type="http://schemas.openxmlformats.org/officeDocument/2006/relationships/hyperlink" Target="https://securityconference.org/en/publications/munich-security-report/2026/executive-summary/" TargetMode="External"/><Relationship Id="rId45" Type="http://schemas.openxmlformats.org/officeDocument/2006/relationships/hyperlink" Target="https://securityconference.org/en/publications/munich-security-report/2026/executive-summary/" TargetMode="External"/><Relationship Id="rId66" Type="http://schemas.openxmlformats.org/officeDocument/2006/relationships/hyperlink" Target="https://www.monde-diplomatique.fr/2017/01/KUNDNANI/569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3204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2026-04-15T19:38:00Z</dcterms:created>
  <dcterms:modified xsi:type="dcterms:W3CDTF">2026-04-15T19:38:00Z</dcterms:modified>
</cp:coreProperties>
</file>