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01" w:rsidRDefault="00860901">
      <w:pPr>
        <w:pStyle w:val="Encabezado"/>
        <w:spacing w:line="360" w:lineRule="auto"/>
        <w:jc w:val="both"/>
        <w:rPr>
          <w:sz w:val="24"/>
          <w:szCs w:val="24"/>
        </w:rPr>
      </w:pPr>
    </w:p>
    <w:p w:rsidR="00860901" w:rsidRDefault="008609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</w:p>
    <w:tbl>
      <w:tblPr>
        <w:tblW w:w="10035" w:type="dxa"/>
        <w:tblLayout w:type="fixed"/>
        <w:tblLook w:val="0000" w:firstRow="0" w:lastRow="0" w:firstColumn="0" w:lastColumn="0" w:noHBand="0" w:noVBand="0"/>
      </w:tblPr>
      <w:tblGrid>
        <w:gridCol w:w="4470"/>
        <w:gridCol w:w="5565"/>
      </w:tblGrid>
      <w:tr w:rsidR="00860901">
        <w:trPr>
          <w:trHeight w:val="1696"/>
        </w:trPr>
        <w:tc>
          <w:tcPr>
            <w:tcW w:w="4470" w:type="dxa"/>
          </w:tcPr>
          <w:p w:rsidR="00860901" w:rsidRDefault="003655BB">
            <w:pPr>
              <w:jc w:val="center"/>
              <w:rPr>
                <w:sz w:val="22"/>
                <w:szCs w:val="22"/>
                <w:lang w:bidi="ar-SA"/>
              </w:rPr>
            </w:pPr>
            <w:r>
              <w:rPr>
                <w:noProof/>
                <w:sz w:val="22"/>
                <w:szCs w:val="22"/>
                <w:lang w:val="es-AR"/>
              </w:rPr>
              <w:drawing>
                <wp:inline distT="0" distB="0" distL="0" distR="0">
                  <wp:extent cx="561975" cy="714375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901" w:rsidRDefault="00860901">
            <w:pPr>
              <w:jc w:val="center"/>
              <w:rPr>
                <w:sz w:val="22"/>
                <w:szCs w:val="22"/>
                <w:lang w:bidi="ar-SA"/>
              </w:rPr>
            </w:pPr>
          </w:p>
          <w:p w:rsidR="00860901" w:rsidRDefault="00860901" w:rsidP="003655BB">
            <w:pPr>
              <w:jc w:val="center"/>
              <w:rPr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>UNIVERSIDAD DEL SALVADOR</w:t>
            </w:r>
          </w:p>
          <w:p w:rsidR="00860901" w:rsidRDefault="00860901">
            <w:pPr>
              <w:jc w:val="center"/>
              <w:rPr>
                <w:sz w:val="22"/>
                <w:szCs w:val="22"/>
                <w:lang w:bidi="ar-SA"/>
              </w:rPr>
            </w:pPr>
            <w:r>
              <w:rPr>
                <w:b/>
                <w:i/>
                <w:sz w:val="22"/>
                <w:szCs w:val="22"/>
                <w:lang w:bidi="ar-SA"/>
              </w:rPr>
              <w:t>Facultad de Ciencias</w:t>
            </w:r>
            <w:r w:rsidR="00960153">
              <w:rPr>
                <w:b/>
                <w:i/>
                <w:sz w:val="22"/>
                <w:szCs w:val="22"/>
                <w:lang w:bidi="ar-SA"/>
              </w:rPr>
              <w:t xml:space="preserve"> Sociales, Educación y Comunicación Social</w:t>
            </w:r>
          </w:p>
        </w:tc>
        <w:tc>
          <w:tcPr>
            <w:tcW w:w="5565" w:type="dxa"/>
          </w:tcPr>
          <w:p w:rsidR="00860901" w:rsidRDefault="00860901">
            <w:pPr>
              <w:jc w:val="center"/>
              <w:rPr>
                <w:sz w:val="22"/>
                <w:szCs w:val="22"/>
                <w:lang w:bidi="ar-SA"/>
              </w:rPr>
            </w:pPr>
          </w:p>
          <w:p w:rsidR="00860901" w:rsidRDefault="00860901">
            <w:pPr>
              <w:jc w:val="center"/>
              <w:rPr>
                <w:sz w:val="22"/>
                <w:szCs w:val="22"/>
                <w:lang w:bidi="ar-SA"/>
              </w:rPr>
            </w:pPr>
          </w:p>
          <w:p w:rsidR="00860901" w:rsidRDefault="00860901">
            <w:pPr>
              <w:jc w:val="center"/>
              <w:rPr>
                <w:sz w:val="22"/>
                <w:szCs w:val="22"/>
                <w:lang w:bidi="ar-SA"/>
              </w:rPr>
            </w:pPr>
          </w:p>
          <w:p w:rsidR="00860901" w:rsidRDefault="00860901">
            <w:pPr>
              <w:jc w:val="center"/>
              <w:rPr>
                <w:sz w:val="22"/>
                <w:szCs w:val="22"/>
                <w:lang w:bidi="ar-SA"/>
              </w:rPr>
            </w:pPr>
          </w:p>
          <w:p w:rsidR="00860901" w:rsidRDefault="00860901">
            <w:pPr>
              <w:jc w:val="center"/>
              <w:rPr>
                <w:sz w:val="22"/>
                <w:szCs w:val="22"/>
                <w:lang w:bidi="ar-SA"/>
              </w:rPr>
            </w:pPr>
          </w:p>
          <w:p w:rsidR="00860901" w:rsidRDefault="00860901">
            <w:pPr>
              <w:jc w:val="center"/>
              <w:rPr>
                <w:sz w:val="22"/>
                <w:szCs w:val="22"/>
                <w:lang w:bidi="ar-SA"/>
              </w:rPr>
            </w:pPr>
          </w:p>
          <w:p w:rsidR="00860901" w:rsidRDefault="00860901">
            <w:pPr>
              <w:jc w:val="center"/>
              <w:rPr>
                <w:sz w:val="22"/>
                <w:szCs w:val="22"/>
                <w:lang w:bidi="ar-SA"/>
              </w:rPr>
            </w:pPr>
          </w:p>
          <w:p w:rsidR="003655BB" w:rsidRPr="003655BB" w:rsidRDefault="003655BB" w:rsidP="003655BB">
            <w:pPr>
              <w:jc w:val="center"/>
              <w:rPr>
                <w:b/>
                <w:lang w:bidi="ar-SA"/>
              </w:rPr>
            </w:pPr>
            <w:r w:rsidRPr="003655BB">
              <w:rPr>
                <w:b/>
                <w:lang w:bidi="ar-SA"/>
              </w:rPr>
              <w:t>Licenciatura en Periodismo Deportivo</w:t>
            </w:r>
          </w:p>
          <w:p w:rsidR="00860901" w:rsidRDefault="00860901">
            <w:pPr>
              <w:jc w:val="center"/>
              <w:rPr>
                <w:sz w:val="22"/>
                <w:szCs w:val="22"/>
                <w:lang w:bidi="ar-SA"/>
              </w:rPr>
            </w:pPr>
          </w:p>
          <w:p w:rsidR="00860901" w:rsidRDefault="00860901">
            <w:pPr>
              <w:jc w:val="center"/>
              <w:rPr>
                <w:lang w:bidi="ar-SA"/>
              </w:rPr>
            </w:pPr>
            <w:bookmarkStart w:id="1" w:name="_GoBack"/>
            <w:bookmarkEnd w:id="1"/>
          </w:p>
          <w:p w:rsidR="003655BB" w:rsidRDefault="003655BB">
            <w:pPr>
              <w:jc w:val="center"/>
              <w:rPr>
                <w:lang w:bidi="ar-SA"/>
              </w:rPr>
            </w:pPr>
          </w:p>
          <w:p w:rsidR="003655BB" w:rsidRDefault="003655BB">
            <w:pPr>
              <w:jc w:val="center"/>
              <w:rPr>
                <w:lang w:bidi="ar-SA"/>
              </w:rPr>
            </w:pPr>
          </w:p>
          <w:p w:rsidR="003655BB" w:rsidRDefault="003655BB">
            <w:pPr>
              <w:jc w:val="center"/>
              <w:rPr>
                <w:lang w:bidi="ar-SA"/>
              </w:rPr>
            </w:pPr>
          </w:p>
          <w:p w:rsidR="003655BB" w:rsidRDefault="003655BB">
            <w:pPr>
              <w:jc w:val="center"/>
              <w:rPr>
                <w:sz w:val="22"/>
                <w:szCs w:val="22"/>
                <w:lang w:bidi="ar-SA"/>
              </w:rPr>
            </w:pPr>
          </w:p>
        </w:tc>
      </w:tr>
    </w:tbl>
    <w:p w:rsidR="00860901" w:rsidRDefault="00860901">
      <w:pPr>
        <w:rPr>
          <w:sz w:val="22"/>
          <w:szCs w:val="22"/>
        </w:rPr>
      </w:pPr>
    </w:p>
    <w:p w:rsidR="00860901" w:rsidRDefault="0086090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3655BB">
        <w:rPr>
          <w:b/>
          <w:color w:val="000000"/>
          <w:sz w:val="22"/>
          <w:szCs w:val="22"/>
        </w:rPr>
        <w:t>6</w:t>
      </w:r>
    </w:p>
    <w:p w:rsidR="00860901" w:rsidRDefault="00860901">
      <w:pPr>
        <w:jc w:val="both"/>
        <w:rPr>
          <w:sz w:val="22"/>
          <w:szCs w:val="22"/>
          <w:u w:val="single"/>
        </w:rPr>
      </w:pPr>
    </w:p>
    <w:tbl>
      <w:tblPr>
        <w:tblW w:w="9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095"/>
        <w:gridCol w:w="315"/>
        <w:gridCol w:w="1095"/>
        <w:gridCol w:w="1530"/>
        <w:gridCol w:w="1979"/>
        <w:gridCol w:w="1741"/>
      </w:tblGrid>
      <w:tr w:rsidR="00860901">
        <w:trPr>
          <w:trHeight w:val="460"/>
        </w:trPr>
        <w:tc>
          <w:tcPr>
            <w:tcW w:w="3127" w:type="dxa"/>
            <w:gridSpan w:val="4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860901" w:rsidRDefault="00860901">
            <w:pPr>
              <w:rPr>
                <w:b/>
                <w:lang w:bidi="ar-SA"/>
              </w:rPr>
            </w:pPr>
            <w:r>
              <w:rPr>
                <w:b/>
                <w:lang w:bidi="ar-SA"/>
              </w:rPr>
              <w:t>ACTIVIDAD CURRICULAR:</w:t>
            </w: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:rsidR="00860901" w:rsidRDefault="00860901">
            <w:pPr>
              <w:rPr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Sociología del Deporte</w:t>
            </w:r>
          </w:p>
        </w:tc>
      </w:tr>
      <w:tr w:rsidR="00860901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60901" w:rsidRDefault="00860901">
            <w:pPr>
              <w:rPr>
                <w:b/>
                <w:lang w:bidi="ar-SA"/>
              </w:rPr>
            </w:pPr>
            <w:r>
              <w:rPr>
                <w:b/>
                <w:lang w:bidi="ar-SA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860901" w:rsidRDefault="00A3363E">
            <w:pPr>
              <w:rPr>
                <w:lang w:bidi="ar-SA"/>
              </w:rPr>
            </w:pPr>
            <w:r>
              <w:rPr>
                <w:lang w:bidi="ar-SA"/>
              </w:rPr>
              <w:t>Lancestremere</w:t>
            </w:r>
          </w:p>
        </w:tc>
      </w:tr>
      <w:tr w:rsidR="00860901" w:rsidTr="00491DD8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860901" w:rsidRDefault="00860901">
            <w:pPr>
              <w:rPr>
                <w:b/>
                <w:lang w:bidi="ar-SA"/>
              </w:rPr>
            </w:pPr>
            <w:r>
              <w:rPr>
                <w:b/>
                <w:lang w:bidi="ar-SA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860901" w:rsidRDefault="00A3363E">
            <w:pPr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 xml:space="preserve">Virtual </w:t>
            </w:r>
          </w:p>
        </w:tc>
        <w:tc>
          <w:tcPr>
            <w:tcW w:w="197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60901" w:rsidRDefault="00860901">
            <w:pPr>
              <w:rPr>
                <w:lang w:bidi="ar-SA"/>
              </w:rPr>
            </w:pPr>
            <w:r>
              <w:rPr>
                <w:b/>
                <w:lang w:bidi="ar-SA"/>
              </w:rPr>
              <w:t xml:space="preserve">AÑO ACADÉMICO:  </w:t>
            </w:r>
          </w:p>
        </w:tc>
        <w:tc>
          <w:tcPr>
            <w:tcW w:w="1741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860901" w:rsidRDefault="00860901">
            <w:pPr>
              <w:rPr>
                <w:lang w:bidi="ar-SA"/>
              </w:rPr>
            </w:pPr>
            <w:r>
              <w:rPr>
                <w:lang w:bidi="ar-SA"/>
              </w:rPr>
              <w:t>2°</w:t>
            </w:r>
          </w:p>
        </w:tc>
      </w:tr>
      <w:tr w:rsidR="00860901" w:rsidTr="00491DD8">
        <w:trPr>
          <w:trHeight w:val="460"/>
        </w:trPr>
        <w:tc>
          <w:tcPr>
            <w:tcW w:w="3127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860901" w:rsidRDefault="00860901">
            <w:pPr>
              <w:rPr>
                <w:b/>
                <w:lang w:bidi="ar-SA"/>
              </w:rPr>
            </w:pPr>
            <w:r>
              <w:rPr>
                <w:b/>
                <w:lang w:bidi="ar-SA"/>
              </w:rPr>
              <w:t>CARGA HORARIA SEMANAL:</w:t>
            </w:r>
          </w:p>
        </w:tc>
        <w:tc>
          <w:tcPr>
            <w:tcW w:w="2940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860901" w:rsidRDefault="00860901">
            <w:pPr>
              <w:rPr>
                <w:lang w:bidi="ar-SA"/>
              </w:rPr>
            </w:pPr>
            <w:r>
              <w:rPr>
                <w:lang w:bidi="ar-SA"/>
              </w:rPr>
              <w:t>4</w:t>
            </w:r>
          </w:p>
        </w:tc>
        <w:tc>
          <w:tcPr>
            <w:tcW w:w="197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60901" w:rsidRDefault="00860901">
            <w:pPr>
              <w:rPr>
                <w:lang w:bidi="ar-SA"/>
              </w:rPr>
            </w:pPr>
            <w:r>
              <w:rPr>
                <w:b/>
                <w:lang w:bidi="ar-SA"/>
              </w:rPr>
              <w:t>CARGA HORARIA TOTAL:</w:t>
            </w:r>
          </w:p>
        </w:tc>
        <w:tc>
          <w:tcPr>
            <w:tcW w:w="1741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860901" w:rsidRDefault="00860901">
            <w:pPr>
              <w:rPr>
                <w:lang w:bidi="ar-SA"/>
              </w:rPr>
            </w:pPr>
            <w:r>
              <w:rPr>
                <w:lang w:bidi="ar-SA"/>
              </w:rPr>
              <w:t>72</w:t>
            </w:r>
          </w:p>
        </w:tc>
      </w:tr>
      <w:tr w:rsidR="00860901">
        <w:trPr>
          <w:trHeight w:val="460"/>
        </w:trPr>
        <w:tc>
          <w:tcPr>
            <w:tcW w:w="3127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860901" w:rsidRDefault="00860901">
            <w:pPr>
              <w:rPr>
                <w:lang w:bidi="ar-SA"/>
              </w:rPr>
            </w:pPr>
            <w:r>
              <w:rPr>
                <w:b/>
                <w:lang w:bidi="ar-SA"/>
              </w:rPr>
              <w:t>HORARIOS DE DICTADO:</w:t>
            </w:r>
          </w:p>
        </w:tc>
        <w:tc>
          <w:tcPr>
            <w:tcW w:w="6660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860901" w:rsidRDefault="00044AE7">
            <w:pPr>
              <w:rPr>
                <w:lang w:bidi="ar-SA"/>
              </w:rPr>
            </w:pPr>
            <w:r>
              <w:rPr>
                <w:lang w:bidi="ar-SA"/>
              </w:rPr>
              <w:t xml:space="preserve">Viernes </w:t>
            </w:r>
            <w:r w:rsidR="00491DD8">
              <w:rPr>
                <w:lang w:bidi="ar-SA"/>
              </w:rPr>
              <w:t>9</w:t>
            </w:r>
            <w:r w:rsidR="00860901">
              <w:rPr>
                <w:lang w:bidi="ar-SA"/>
              </w:rPr>
              <w:t xml:space="preserve"> – 1</w:t>
            </w:r>
            <w:r w:rsidR="00491DD8">
              <w:rPr>
                <w:lang w:bidi="ar-SA"/>
              </w:rPr>
              <w:t>3</w:t>
            </w:r>
            <w:r w:rsidR="00860901">
              <w:rPr>
                <w:lang w:bidi="ar-SA"/>
              </w:rPr>
              <w:t xml:space="preserve"> hs.</w:t>
            </w:r>
          </w:p>
        </w:tc>
      </w:tr>
      <w:tr w:rsidR="00860901" w:rsidTr="00491DD8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60901" w:rsidRDefault="00860901">
            <w:pPr>
              <w:rPr>
                <w:b/>
                <w:lang w:bidi="ar-SA"/>
              </w:rPr>
            </w:pPr>
            <w:r>
              <w:rPr>
                <w:b/>
                <w:lang w:bidi="ar-SA"/>
              </w:rPr>
              <w:t>CURSO:</w:t>
            </w:r>
          </w:p>
        </w:tc>
        <w:tc>
          <w:tcPr>
            <w:tcW w:w="208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860901" w:rsidRDefault="00860901">
            <w:pPr>
              <w:rPr>
                <w:lang w:bidi="ar-SA"/>
              </w:rPr>
            </w:pPr>
          </w:p>
        </w:tc>
        <w:tc>
          <w:tcPr>
            <w:tcW w:w="1095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60901" w:rsidRDefault="00860901">
            <w:pPr>
              <w:rPr>
                <w:b/>
                <w:lang w:bidi="ar-SA"/>
              </w:rPr>
            </w:pPr>
            <w:r>
              <w:rPr>
                <w:b/>
                <w:lang w:bidi="ar-SA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860901" w:rsidRDefault="00860901">
            <w:pPr>
              <w:rPr>
                <w:lang w:bidi="ar-SA"/>
              </w:rPr>
            </w:pPr>
            <w:r>
              <w:rPr>
                <w:lang w:bidi="ar-SA"/>
              </w:rPr>
              <w:t>Mañana</w:t>
            </w:r>
          </w:p>
        </w:tc>
        <w:tc>
          <w:tcPr>
            <w:tcW w:w="197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60901" w:rsidRDefault="00860901">
            <w:pPr>
              <w:rPr>
                <w:b/>
                <w:lang w:bidi="ar-SA"/>
              </w:rPr>
            </w:pPr>
            <w:r>
              <w:rPr>
                <w:b/>
                <w:lang w:bidi="ar-SA"/>
              </w:rPr>
              <w:t>SEDE</w:t>
            </w:r>
            <w:r w:rsidR="00491DD8">
              <w:rPr>
                <w:b/>
                <w:lang w:bidi="ar-SA"/>
              </w:rPr>
              <w:t>S</w:t>
            </w:r>
            <w:r>
              <w:rPr>
                <w:b/>
                <w:lang w:bidi="ar-SA"/>
              </w:rPr>
              <w:t>:</w:t>
            </w:r>
          </w:p>
        </w:tc>
        <w:tc>
          <w:tcPr>
            <w:tcW w:w="1741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860901" w:rsidRDefault="00860901">
            <w:pPr>
              <w:rPr>
                <w:lang w:bidi="ar-SA"/>
              </w:rPr>
            </w:pPr>
            <w:r>
              <w:rPr>
                <w:lang w:bidi="ar-SA"/>
              </w:rPr>
              <w:t>PILAR</w:t>
            </w:r>
            <w:r w:rsidR="00491DD8">
              <w:rPr>
                <w:lang w:val="es-AR" w:bidi="ar-SA"/>
              </w:rPr>
              <w:t>/</w:t>
            </w:r>
            <w:r w:rsidR="00491DD8">
              <w:rPr>
                <w:lang w:bidi="ar-SA"/>
              </w:rPr>
              <w:t>CENTRO</w:t>
            </w:r>
          </w:p>
        </w:tc>
      </w:tr>
      <w:tr w:rsidR="00860901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860901" w:rsidRDefault="00860901">
            <w:pPr>
              <w:rPr>
                <w:b/>
                <w:lang w:bidi="ar-SA"/>
              </w:rPr>
            </w:pPr>
            <w:r>
              <w:rPr>
                <w:b/>
                <w:lang w:bidi="ar-SA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860901" w:rsidRDefault="00860901">
            <w:pPr>
              <w:rPr>
                <w:lang w:bidi="ar-SA"/>
              </w:rPr>
            </w:pPr>
            <w:r>
              <w:rPr>
                <w:lang w:bidi="ar-SA"/>
              </w:rPr>
              <w:t>Español</w:t>
            </w:r>
          </w:p>
        </w:tc>
      </w:tr>
      <w:tr w:rsidR="00860901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60901" w:rsidRDefault="00860901">
            <w:pPr>
              <w:rPr>
                <w:b/>
                <w:lang w:bidi="ar-SA"/>
              </w:rPr>
            </w:pPr>
            <w:r>
              <w:rPr>
                <w:b/>
                <w:lang w:bidi="ar-SA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860901" w:rsidRDefault="00860901">
            <w:pPr>
              <w:rPr>
                <w:lang w:bidi="ar-SA"/>
              </w:rPr>
            </w:pPr>
          </w:p>
        </w:tc>
      </w:tr>
    </w:tbl>
    <w:p w:rsidR="00860901" w:rsidRDefault="00860901">
      <w:pPr>
        <w:tabs>
          <w:tab w:val="left" w:pos="1985"/>
        </w:tabs>
        <w:jc w:val="both"/>
        <w:rPr>
          <w:b/>
          <w:sz w:val="22"/>
          <w:szCs w:val="22"/>
        </w:rPr>
      </w:pPr>
    </w:p>
    <w:p w:rsidR="00860901" w:rsidRDefault="00860901">
      <w:pPr>
        <w:jc w:val="both"/>
        <w:rPr>
          <w:b/>
          <w:sz w:val="22"/>
          <w:szCs w:val="22"/>
        </w:rPr>
      </w:pPr>
    </w:p>
    <w:p w:rsidR="00860901" w:rsidRDefault="00860901">
      <w:pPr>
        <w:jc w:val="both"/>
        <w:rPr>
          <w:b/>
          <w:sz w:val="22"/>
          <w:szCs w:val="22"/>
        </w:rPr>
      </w:pPr>
    </w:p>
    <w:p w:rsidR="00860901" w:rsidRDefault="00860901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:rsidR="00860901" w:rsidRDefault="00860901">
      <w:pPr>
        <w:jc w:val="both"/>
        <w:rPr>
          <w:i/>
        </w:rPr>
      </w:pPr>
    </w:p>
    <w:tbl>
      <w:tblPr>
        <w:tblW w:w="4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860901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60901" w:rsidRDefault="00860901">
            <w:pPr>
              <w:jc w:val="center"/>
              <w:rPr>
                <w:b/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60901" w:rsidRDefault="00860901">
            <w:pPr>
              <w:jc w:val="center"/>
              <w:rPr>
                <w:b/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>X</w:t>
            </w: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60901" w:rsidRDefault="00860901">
            <w:pPr>
              <w:jc w:val="center"/>
              <w:rPr>
                <w:b/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:rsidR="00860901" w:rsidRDefault="00860901">
            <w:pPr>
              <w:jc w:val="center"/>
              <w:rPr>
                <w:b/>
                <w:sz w:val="22"/>
                <w:szCs w:val="22"/>
                <w:lang w:bidi="ar-SA"/>
              </w:rPr>
            </w:pPr>
          </w:p>
        </w:tc>
      </w:tr>
    </w:tbl>
    <w:p w:rsidR="00860901" w:rsidRDefault="00860901">
      <w:pPr>
        <w:jc w:val="both"/>
        <w:rPr>
          <w:b/>
          <w:sz w:val="22"/>
          <w:szCs w:val="22"/>
        </w:rPr>
      </w:pPr>
    </w:p>
    <w:p w:rsidR="00860901" w:rsidRDefault="00860901">
      <w:pPr>
        <w:jc w:val="both"/>
        <w:rPr>
          <w:b/>
          <w:sz w:val="22"/>
          <w:szCs w:val="22"/>
        </w:rPr>
      </w:pPr>
    </w:p>
    <w:p w:rsidR="00860901" w:rsidRDefault="00860901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:rsidR="00860901" w:rsidRDefault="00860901">
      <w:pPr>
        <w:jc w:val="both"/>
        <w:rPr>
          <w:b/>
          <w:sz w:val="22"/>
          <w:szCs w:val="22"/>
        </w:rPr>
      </w:pP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860901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901" w:rsidRDefault="00860901">
            <w:pPr>
              <w:jc w:val="both"/>
              <w:rPr>
                <w:b/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901" w:rsidRDefault="00860901">
            <w:pPr>
              <w:jc w:val="both"/>
              <w:rPr>
                <w:b/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>Función</w:t>
            </w:r>
            <w:r>
              <w:rPr>
                <w:rStyle w:val="Refdenotaalpie"/>
                <w:b/>
                <w:sz w:val="22"/>
                <w:szCs w:val="22"/>
                <w:lang w:bidi="ar-SA"/>
              </w:rPr>
              <w:footnoteReference w:id="1"/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901" w:rsidRDefault="00860901">
            <w:pPr>
              <w:jc w:val="both"/>
              <w:rPr>
                <w:b/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>E-mail</w:t>
            </w:r>
          </w:p>
        </w:tc>
      </w:tr>
      <w:tr w:rsidR="00860901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901" w:rsidRDefault="00860901">
            <w:pPr>
              <w:jc w:val="both"/>
              <w:rPr>
                <w:b/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 xml:space="preserve">Titular: </w:t>
            </w:r>
            <w:r w:rsidR="00A3363E">
              <w:rPr>
                <w:b/>
                <w:sz w:val="22"/>
                <w:szCs w:val="22"/>
                <w:lang w:bidi="ar-SA"/>
              </w:rPr>
              <w:t>Lancestremere, Sandra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901" w:rsidRDefault="00860901">
            <w:pPr>
              <w:jc w:val="both"/>
              <w:rPr>
                <w:b/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>A cargo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901" w:rsidRDefault="00A3363E">
            <w:pPr>
              <w:jc w:val="both"/>
              <w:rPr>
                <w:b/>
                <w:color w:val="4D5156"/>
                <w:shd w:val="clear" w:color="auto" w:fill="FFFFFF"/>
                <w:lang w:bidi="ar-SA"/>
              </w:rPr>
            </w:pPr>
            <w:r>
              <w:rPr>
                <w:rStyle w:val="Hipervnculo"/>
                <w:lang w:bidi="ar-SA"/>
              </w:rPr>
              <w:t>sandra.lancestremere@usal.edu.ar</w:t>
            </w:r>
          </w:p>
          <w:p w:rsidR="00860901" w:rsidRDefault="00860901">
            <w:pPr>
              <w:jc w:val="both"/>
              <w:rPr>
                <w:b/>
                <w:sz w:val="18"/>
                <w:szCs w:val="18"/>
                <w:lang w:bidi="ar-SA"/>
              </w:rPr>
            </w:pPr>
          </w:p>
        </w:tc>
      </w:tr>
    </w:tbl>
    <w:p w:rsidR="00860901" w:rsidRDefault="00860901">
      <w:pPr>
        <w:jc w:val="both"/>
        <w:rPr>
          <w:b/>
          <w:sz w:val="22"/>
          <w:szCs w:val="22"/>
        </w:rPr>
      </w:pP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4860"/>
      </w:tblGrid>
      <w:tr w:rsidR="00860901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901" w:rsidRDefault="00860901">
            <w:pPr>
              <w:jc w:val="both"/>
              <w:rPr>
                <w:b/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lastRenderedPageBreak/>
              <w:t>Referente técnico de la plataforma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901" w:rsidRDefault="00860901">
            <w:pPr>
              <w:jc w:val="both"/>
              <w:rPr>
                <w:b/>
                <w:sz w:val="22"/>
                <w:szCs w:val="22"/>
                <w:lang w:bidi="ar-SA"/>
              </w:rPr>
            </w:pPr>
            <w:hyperlink r:id="rId9" w:history="1">
              <w:r>
                <w:rPr>
                  <w:rStyle w:val="Hipervnculo"/>
                  <w:b/>
                  <w:sz w:val="22"/>
                  <w:szCs w:val="22"/>
                  <w:lang w:bidi="ar-SA"/>
                </w:rPr>
                <w:t>uds-apad@usal.edu.ar</w:t>
              </w:r>
            </w:hyperlink>
          </w:p>
        </w:tc>
      </w:tr>
    </w:tbl>
    <w:p w:rsidR="00860901" w:rsidRDefault="00860901">
      <w:pPr>
        <w:jc w:val="both"/>
        <w:rPr>
          <w:b/>
          <w:sz w:val="22"/>
          <w:szCs w:val="22"/>
        </w:rPr>
      </w:pPr>
    </w:p>
    <w:p w:rsidR="00860901" w:rsidRDefault="00860901">
      <w:pPr>
        <w:numPr>
          <w:ilvl w:val="0"/>
          <w:numId w:val="29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EJE/ÁREA EN QUE SE ENCUENTRA LA MATERIA/SEMINARIO DENTRO DE LA CARRERA:</w:t>
      </w:r>
    </w:p>
    <w:p w:rsidR="00860901" w:rsidRDefault="00860901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  <w:lang w:val="es-AR"/>
        </w:rPr>
        <w:t>Eje Deporte y Sociedad</w:t>
      </w:r>
    </w:p>
    <w:p w:rsidR="00860901" w:rsidRDefault="00860901">
      <w:pPr>
        <w:spacing w:line="360" w:lineRule="auto"/>
        <w:jc w:val="both"/>
        <w:rPr>
          <w:sz w:val="24"/>
          <w:szCs w:val="24"/>
        </w:rPr>
      </w:pPr>
    </w:p>
    <w:p w:rsidR="00860901" w:rsidRDefault="00860901">
      <w:pPr>
        <w:numPr>
          <w:ilvl w:val="0"/>
          <w:numId w:val="29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FUNDAMENTACIÓN DE LA MATERIA/SEMINARIO EN LA CARRERA:</w:t>
      </w:r>
    </w:p>
    <w:p w:rsidR="00860901" w:rsidRDefault="00860901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La imaginación sociológica, permite comprender nuestra realidad cotidiana y su contexto estru</w:t>
      </w: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tural desde una perspectiva que vincule la historia con la vida individual.  Como objeto de enseñanza, la </w:t>
      </w:r>
      <w:r>
        <w:rPr>
          <w:b/>
          <w:sz w:val="24"/>
          <w:szCs w:val="24"/>
        </w:rPr>
        <w:t>sociología del deporte</w:t>
      </w:r>
      <w:r>
        <w:rPr>
          <w:sz w:val="24"/>
          <w:szCs w:val="24"/>
        </w:rPr>
        <w:t xml:space="preserve"> brinda a los estudiantes herramientas epistemológicas, teóricas y met</w:t>
      </w:r>
      <w:r>
        <w:rPr>
          <w:sz w:val="24"/>
          <w:szCs w:val="24"/>
        </w:rPr>
        <w:t>o</w:t>
      </w:r>
      <w:r>
        <w:rPr>
          <w:sz w:val="24"/>
          <w:szCs w:val="24"/>
        </w:rPr>
        <w:t>dológicas para comprender al deporte como fenómeno histórico-cultural.</w:t>
      </w:r>
    </w:p>
    <w:p w:rsidR="00860901" w:rsidRDefault="00860901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Implica también promover un pensamiento crítico y riguroso acerca de lo social y el deporte, aco</w:t>
      </w:r>
      <w:r>
        <w:rPr>
          <w:sz w:val="24"/>
          <w:szCs w:val="24"/>
        </w:rPr>
        <w:t>r</w:t>
      </w:r>
      <w:r>
        <w:rPr>
          <w:sz w:val="24"/>
          <w:szCs w:val="24"/>
        </w:rPr>
        <w:t>de a los nuevos contextos educativos; contribuye a que los alumnos desarrollen los saberes y habilidades específicas que les permitan construir estrategias para enfrentar los distintos obstác</w:t>
      </w:r>
      <w:r>
        <w:rPr>
          <w:sz w:val="24"/>
          <w:szCs w:val="24"/>
        </w:rPr>
        <w:t>u</w:t>
      </w:r>
      <w:r>
        <w:rPr>
          <w:sz w:val="24"/>
          <w:szCs w:val="24"/>
        </w:rPr>
        <w:t>los que se presenten en su práctica y desarrollo profesional.</w:t>
      </w:r>
    </w:p>
    <w:p w:rsidR="00860901" w:rsidRDefault="00860901">
      <w:pPr>
        <w:spacing w:line="360" w:lineRule="auto"/>
        <w:jc w:val="both"/>
        <w:rPr>
          <w:sz w:val="24"/>
          <w:szCs w:val="24"/>
        </w:rPr>
      </w:pPr>
    </w:p>
    <w:p w:rsidR="00860901" w:rsidRDefault="00860901">
      <w:pPr>
        <w:spacing w:line="360" w:lineRule="auto"/>
        <w:jc w:val="both"/>
        <w:rPr>
          <w:b/>
          <w:sz w:val="24"/>
          <w:szCs w:val="24"/>
        </w:rPr>
      </w:pPr>
    </w:p>
    <w:p w:rsidR="00860901" w:rsidRDefault="00860901">
      <w:pPr>
        <w:numPr>
          <w:ilvl w:val="0"/>
          <w:numId w:val="29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OBJETIVOS DE LA MATERIA/SEMINARIO:</w:t>
      </w:r>
    </w:p>
    <w:p w:rsidR="00860901" w:rsidRDefault="00860901" w:rsidP="00785A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 el alumno:</w:t>
      </w:r>
    </w:p>
    <w:p w:rsidR="00860901" w:rsidRDefault="00860901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Identifi</w:t>
      </w:r>
      <w:r w:rsidR="00785A99">
        <w:rPr>
          <w:sz w:val="24"/>
          <w:szCs w:val="24"/>
        </w:rPr>
        <w:t>que</w:t>
      </w:r>
      <w:r>
        <w:rPr>
          <w:sz w:val="24"/>
          <w:szCs w:val="24"/>
        </w:rPr>
        <w:t xml:space="preserve"> conceptos y herramientas teóricas respecto del deporte, su organización y sus instituciones</w:t>
      </w:r>
    </w:p>
    <w:p w:rsidR="00860901" w:rsidRDefault="00785A99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Pueda interpretar</w:t>
      </w:r>
      <w:r w:rsidR="00860901">
        <w:rPr>
          <w:sz w:val="24"/>
          <w:szCs w:val="24"/>
        </w:rPr>
        <w:t xml:space="preserve"> los mecanismos de construcción de identidades y el espacio que el deporte ocupa en dicho contexto</w:t>
      </w:r>
    </w:p>
    <w:p w:rsidR="00860901" w:rsidRDefault="00860901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Comprend</w:t>
      </w:r>
      <w:r w:rsidR="00785A99">
        <w:rPr>
          <w:sz w:val="24"/>
          <w:szCs w:val="24"/>
        </w:rPr>
        <w:t>a</w:t>
      </w:r>
      <w:r>
        <w:rPr>
          <w:sz w:val="24"/>
          <w:szCs w:val="24"/>
        </w:rPr>
        <w:t xml:space="preserve"> los procesos de cambio operados en el deporte en relación al Estado y como prácticas deportivas en tanto culturas populares.</w:t>
      </w:r>
    </w:p>
    <w:p w:rsidR="00860901" w:rsidRDefault="00860901">
      <w:pPr>
        <w:spacing w:line="360" w:lineRule="auto"/>
        <w:jc w:val="both"/>
        <w:rPr>
          <w:sz w:val="24"/>
          <w:szCs w:val="24"/>
        </w:rPr>
      </w:pPr>
    </w:p>
    <w:p w:rsidR="00860901" w:rsidRDefault="00860901">
      <w:pPr>
        <w:numPr>
          <w:ilvl w:val="0"/>
          <w:numId w:val="29"/>
        </w:numPr>
        <w:spacing w:before="100" w:beforeAutospacing="1" w:after="100" w:afterAutospacing="1"/>
        <w:rPr>
          <w:color w:val="000000"/>
          <w:sz w:val="27"/>
          <w:szCs w:val="27"/>
          <w:lang w:val="es-AR"/>
        </w:rPr>
      </w:pPr>
      <w:r>
        <w:rPr>
          <w:color w:val="000000"/>
          <w:sz w:val="27"/>
          <w:szCs w:val="27"/>
          <w:lang w:val="es-AR"/>
        </w:rPr>
        <w:t>ASIGNACIÓN HORARIA:</w:t>
      </w:r>
    </w:p>
    <w:tbl>
      <w:tblPr>
        <w:tblW w:w="8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860901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860901" w:rsidRDefault="00860901">
            <w:pPr>
              <w:ind w:hanging="2"/>
              <w:jc w:val="both"/>
              <w:rPr>
                <w:sz w:val="22"/>
                <w:szCs w:val="22"/>
                <w:lang w:bidi="ar-SA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60901" w:rsidRDefault="00860901">
            <w:pPr>
              <w:ind w:hanging="2"/>
              <w:jc w:val="center"/>
              <w:rPr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60901" w:rsidRDefault="00860901">
            <w:pPr>
              <w:ind w:hanging="2"/>
              <w:jc w:val="center"/>
              <w:rPr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60901" w:rsidRDefault="00860901">
            <w:pPr>
              <w:ind w:hanging="2"/>
              <w:jc w:val="center"/>
              <w:rPr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>Total</w:t>
            </w:r>
          </w:p>
        </w:tc>
      </w:tr>
      <w:tr w:rsidR="00860901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60901" w:rsidRDefault="00860901">
            <w:pPr>
              <w:ind w:hanging="2"/>
              <w:rPr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 xml:space="preserve">Carga horaria de trabajo sincrónico </w:t>
            </w:r>
            <w:r>
              <w:rPr>
                <w:lang w:bidi="ar-SA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60901" w:rsidRDefault="00960153">
            <w:pPr>
              <w:ind w:hanging="2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15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60901" w:rsidRDefault="00960153">
            <w:pPr>
              <w:ind w:hanging="2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15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60901" w:rsidRDefault="00960153">
            <w:pPr>
              <w:ind w:hanging="2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30</w:t>
            </w:r>
          </w:p>
        </w:tc>
      </w:tr>
      <w:tr w:rsidR="00860901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60901" w:rsidRDefault="00860901">
            <w:pPr>
              <w:ind w:hanging="2"/>
              <w:rPr>
                <w:b/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>Carga horaria de trabajo asincrónico</w:t>
            </w:r>
          </w:p>
          <w:p w:rsidR="00860901" w:rsidRDefault="00860901">
            <w:pPr>
              <w:ind w:hanging="2"/>
              <w:rPr>
                <w:b/>
                <w:lang w:bidi="ar-SA"/>
              </w:rPr>
            </w:pPr>
            <w:r>
              <w:rPr>
                <w:lang w:bidi="ar-SA"/>
              </w:rPr>
              <w:t>(trabajo asincrónico en plataformas</w:t>
            </w:r>
            <w:r>
              <w:rPr>
                <w:b/>
                <w:lang w:bidi="ar-SA"/>
              </w:rPr>
              <w:t xml:space="preserve"> - </w:t>
            </w:r>
            <w:r>
              <w:rPr>
                <w:lang w:bidi="ar-SA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60901" w:rsidRDefault="00960153">
            <w:pPr>
              <w:ind w:hanging="2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30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60901" w:rsidRDefault="00960153">
            <w:pPr>
              <w:ind w:hanging="2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12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60901" w:rsidRDefault="00960153">
            <w:pPr>
              <w:ind w:hanging="2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42</w:t>
            </w:r>
          </w:p>
        </w:tc>
      </w:tr>
      <w:tr w:rsidR="00860901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60901" w:rsidRDefault="00860901">
            <w:pPr>
              <w:ind w:hanging="2"/>
              <w:rPr>
                <w:b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60901" w:rsidRDefault="00960153">
            <w:pPr>
              <w:ind w:hanging="2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45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60901" w:rsidRDefault="00960153">
            <w:pPr>
              <w:ind w:hanging="2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27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60901" w:rsidRDefault="00860901">
            <w:pPr>
              <w:ind w:hanging="2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72</w:t>
            </w:r>
          </w:p>
        </w:tc>
      </w:tr>
    </w:tbl>
    <w:p w:rsidR="00860901" w:rsidRDefault="00860901">
      <w:pPr>
        <w:spacing w:before="100" w:beforeAutospacing="1" w:after="100" w:afterAutospacing="1"/>
        <w:ind w:left="720"/>
        <w:rPr>
          <w:color w:val="000000"/>
          <w:sz w:val="27"/>
          <w:szCs w:val="27"/>
          <w:lang w:val="es-AR"/>
        </w:rPr>
      </w:pPr>
    </w:p>
    <w:p w:rsidR="00860901" w:rsidRDefault="00860901">
      <w:pPr>
        <w:spacing w:line="360" w:lineRule="auto"/>
        <w:jc w:val="both"/>
        <w:rPr>
          <w:sz w:val="24"/>
          <w:szCs w:val="24"/>
        </w:rPr>
      </w:pPr>
    </w:p>
    <w:p w:rsidR="00860901" w:rsidRDefault="00860901">
      <w:pPr>
        <w:spacing w:line="360" w:lineRule="auto"/>
        <w:jc w:val="both"/>
        <w:rPr>
          <w:sz w:val="24"/>
          <w:szCs w:val="24"/>
        </w:rPr>
      </w:pPr>
    </w:p>
    <w:p w:rsidR="00860901" w:rsidRDefault="00860901">
      <w:pPr>
        <w:numPr>
          <w:ilvl w:val="0"/>
          <w:numId w:val="29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UNIDADES TEMÁTICAS, CONTENIDOS, BIBLIOGRAFÍA POR UNIDAD TEMÁTICA:</w:t>
      </w:r>
    </w:p>
    <w:p w:rsidR="00860901" w:rsidRDefault="00860901">
      <w:pPr>
        <w:spacing w:line="360" w:lineRule="auto"/>
        <w:jc w:val="both"/>
        <w:rPr>
          <w:b/>
          <w:bCs/>
          <w:sz w:val="24"/>
          <w:szCs w:val="24"/>
        </w:rPr>
      </w:pPr>
    </w:p>
    <w:p w:rsidR="00860901" w:rsidRDefault="00860901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Unidad 1: El deporte como objeto de las ciencias sociales.</w:t>
      </w:r>
    </w:p>
    <w:p w:rsidR="00860901" w:rsidRDefault="0086090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6B660A">
        <w:rPr>
          <w:sz w:val="24"/>
          <w:szCs w:val="24"/>
        </w:rPr>
        <w:t>contexto sociohistórico de surgimiento</w:t>
      </w:r>
      <w:r>
        <w:rPr>
          <w:sz w:val="24"/>
          <w:szCs w:val="24"/>
        </w:rPr>
        <w:t xml:space="preserve"> de las ciencias sociales</w:t>
      </w:r>
      <w:r w:rsidR="006B660A">
        <w:rPr>
          <w:sz w:val="24"/>
          <w:szCs w:val="24"/>
        </w:rPr>
        <w:t>; o</w:t>
      </w:r>
      <w:r w:rsidR="00A3363E">
        <w:rPr>
          <w:sz w:val="24"/>
          <w:szCs w:val="24"/>
        </w:rPr>
        <w:t>rígenes</w:t>
      </w:r>
      <w:r w:rsidR="006B660A">
        <w:rPr>
          <w:sz w:val="24"/>
          <w:szCs w:val="24"/>
        </w:rPr>
        <w:t>, objeto y método</w:t>
      </w:r>
      <w:r w:rsidR="00A3363E">
        <w:rPr>
          <w:sz w:val="24"/>
          <w:szCs w:val="24"/>
        </w:rPr>
        <w:t xml:space="preserve"> de la sociología</w:t>
      </w:r>
      <w:r>
        <w:rPr>
          <w:sz w:val="24"/>
          <w:szCs w:val="24"/>
        </w:rPr>
        <w:t xml:space="preserve">. </w:t>
      </w:r>
      <w:r w:rsidR="001C0293">
        <w:rPr>
          <w:sz w:val="24"/>
          <w:szCs w:val="24"/>
        </w:rPr>
        <w:t>Elementos conceptuales generales para la comprensión del deporte como objeto sociológico.</w:t>
      </w:r>
      <w:r>
        <w:rPr>
          <w:sz w:val="24"/>
          <w:szCs w:val="24"/>
        </w:rPr>
        <w:t xml:space="preserve"> </w:t>
      </w:r>
      <w:r w:rsidR="006B660A">
        <w:rPr>
          <w:sz w:val="24"/>
          <w:szCs w:val="24"/>
        </w:rPr>
        <w:t xml:space="preserve">Transformaciones sociales de las sociedades contemporáneas. </w:t>
      </w:r>
      <w:r>
        <w:rPr>
          <w:sz w:val="24"/>
          <w:szCs w:val="24"/>
        </w:rPr>
        <w:t>Breve historia del campo de los estudios sociales del deporte.</w:t>
      </w:r>
    </w:p>
    <w:p w:rsidR="00456AA1" w:rsidRDefault="00456AA1" w:rsidP="00B909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456AA1" w:rsidRPr="00456AA1" w:rsidRDefault="00456AA1" w:rsidP="00456AA1">
      <w:pPr>
        <w:spacing w:line="360" w:lineRule="auto"/>
        <w:jc w:val="both"/>
        <w:rPr>
          <w:sz w:val="24"/>
          <w:szCs w:val="24"/>
          <w:u w:val="single"/>
        </w:rPr>
      </w:pPr>
      <w:r w:rsidRPr="00456AA1">
        <w:rPr>
          <w:sz w:val="24"/>
          <w:szCs w:val="24"/>
          <w:u w:val="single"/>
        </w:rPr>
        <w:t>Bibliografía Obligatoria:</w:t>
      </w:r>
    </w:p>
    <w:p w:rsidR="00A215A3" w:rsidRPr="00A215A3" w:rsidRDefault="00A215A3" w:rsidP="00A215A3">
      <w:pPr>
        <w:spacing w:line="360" w:lineRule="auto"/>
        <w:jc w:val="both"/>
        <w:rPr>
          <w:sz w:val="24"/>
          <w:szCs w:val="24"/>
        </w:rPr>
      </w:pPr>
      <w:r w:rsidRPr="00A215A3">
        <w:rPr>
          <w:sz w:val="24"/>
          <w:szCs w:val="24"/>
        </w:rPr>
        <w:t>BAUMAN, Zygmunt</w:t>
      </w:r>
      <w:r w:rsidR="00A9285A">
        <w:rPr>
          <w:sz w:val="24"/>
          <w:szCs w:val="24"/>
        </w:rPr>
        <w:t xml:space="preserve"> (2002) Prólogo de</w:t>
      </w:r>
      <w:r w:rsidRPr="00A215A3">
        <w:rPr>
          <w:sz w:val="24"/>
          <w:szCs w:val="24"/>
        </w:rPr>
        <w:t xml:space="preserve"> </w:t>
      </w:r>
      <w:r w:rsidRPr="00A215A3">
        <w:rPr>
          <w:i/>
          <w:sz w:val="24"/>
          <w:szCs w:val="24"/>
        </w:rPr>
        <w:t>Modernidad Líquida</w:t>
      </w:r>
      <w:r w:rsidRPr="00A215A3">
        <w:rPr>
          <w:sz w:val="24"/>
          <w:szCs w:val="24"/>
        </w:rPr>
        <w:t>. Buenos Aires, Fondo de Cultura Económica</w:t>
      </w:r>
      <w:r w:rsidR="00A9285A">
        <w:rPr>
          <w:sz w:val="24"/>
          <w:szCs w:val="24"/>
        </w:rPr>
        <w:t>.</w:t>
      </w:r>
    </w:p>
    <w:p w:rsidR="00B909EC" w:rsidRPr="00A215A3" w:rsidRDefault="00B909EC" w:rsidP="00A92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  <w:color w:val="000000"/>
          <w:sz w:val="24"/>
          <w:szCs w:val="24"/>
        </w:rPr>
      </w:pPr>
      <w:r w:rsidRPr="00A215A3">
        <w:rPr>
          <w:sz w:val="24"/>
          <w:szCs w:val="24"/>
        </w:rPr>
        <w:t>GIDDENS</w:t>
      </w:r>
      <w:r w:rsidRPr="00A215A3">
        <w:rPr>
          <w:rFonts w:eastAsia="Calibri"/>
          <w:color w:val="000000"/>
          <w:sz w:val="24"/>
          <w:szCs w:val="24"/>
        </w:rPr>
        <w:t>, Anthony (1991) Sociología Cap. 1 Sociología: problemas y perspectiva Buenos Aires: Alianza Universidad</w:t>
      </w:r>
      <w:r w:rsidR="006B660A" w:rsidRPr="00A215A3">
        <w:rPr>
          <w:rFonts w:eastAsia="Calibri"/>
          <w:color w:val="000000"/>
          <w:sz w:val="24"/>
          <w:szCs w:val="24"/>
        </w:rPr>
        <w:t>.</w:t>
      </w:r>
    </w:p>
    <w:p w:rsidR="006B660A" w:rsidRPr="00A215A3" w:rsidRDefault="006B660A" w:rsidP="006B66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Calibri"/>
          <w:color w:val="000000"/>
          <w:sz w:val="24"/>
          <w:szCs w:val="24"/>
        </w:rPr>
      </w:pPr>
      <w:r w:rsidRPr="00A215A3">
        <w:rPr>
          <w:rFonts w:eastAsia="Calibri"/>
          <w:color w:val="000000"/>
          <w:sz w:val="24"/>
          <w:szCs w:val="24"/>
        </w:rPr>
        <w:t>PORTANTIERO, Juan C. (1986) La sociología clásica: Durkheim y Weber Introducción Buenos Aires: CEAL</w:t>
      </w:r>
    </w:p>
    <w:p w:rsidR="006B660A" w:rsidRPr="00A215A3" w:rsidRDefault="006B660A" w:rsidP="006B660A">
      <w:pPr>
        <w:spacing w:line="360" w:lineRule="auto"/>
        <w:jc w:val="both"/>
        <w:rPr>
          <w:sz w:val="24"/>
          <w:szCs w:val="24"/>
        </w:rPr>
      </w:pPr>
      <w:r w:rsidRPr="00A215A3">
        <w:rPr>
          <w:sz w:val="24"/>
          <w:szCs w:val="24"/>
        </w:rPr>
        <w:t xml:space="preserve">RUSSO, Pippo: </w:t>
      </w:r>
      <w:r w:rsidRPr="00A215A3">
        <w:rPr>
          <w:i/>
          <w:sz w:val="24"/>
          <w:szCs w:val="24"/>
        </w:rPr>
        <w:t>El análisis sociológico del deporte</w:t>
      </w:r>
      <w:r w:rsidRPr="00A215A3">
        <w:rPr>
          <w:sz w:val="24"/>
          <w:szCs w:val="24"/>
        </w:rPr>
        <w:t xml:space="preserve">. En </w:t>
      </w:r>
      <w:r w:rsidRPr="00A215A3">
        <w:rPr>
          <w:i/>
          <w:sz w:val="24"/>
          <w:szCs w:val="24"/>
        </w:rPr>
        <w:t>Rassegna Italiana di Sociología</w:t>
      </w:r>
      <w:r w:rsidRPr="00A215A3">
        <w:rPr>
          <w:sz w:val="24"/>
          <w:szCs w:val="24"/>
        </w:rPr>
        <w:t>, Universidad de Florencia, Italia.</w:t>
      </w:r>
    </w:p>
    <w:p w:rsidR="00A215A3" w:rsidRPr="00A215A3" w:rsidRDefault="00A215A3" w:rsidP="00A215A3">
      <w:pPr>
        <w:autoSpaceDE w:val="0"/>
        <w:autoSpaceDN w:val="0"/>
        <w:adjustRightInd w:val="0"/>
        <w:rPr>
          <w:sz w:val="24"/>
          <w:szCs w:val="24"/>
          <w:lang w:val="es-AR"/>
        </w:rPr>
      </w:pPr>
      <w:r w:rsidRPr="00A215A3">
        <w:rPr>
          <w:sz w:val="24"/>
          <w:szCs w:val="24"/>
        </w:rPr>
        <w:t>TEDESCO</w:t>
      </w:r>
      <w:r w:rsidRPr="00A215A3">
        <w:rPr>
          <w:sz w:val="24"/>
          <w:szCs w:val="24"/>
          <w:lang w:val="es-AR"/>
        </w:rPr>
        <w:t xml:space="preserve">, Juan C. (2000) “Conocimiento y sociedad”, cap. 1 en </w:t>
      </w:r>
      <w:r w:rsidRPr="00A215A3">
        <w:rPr>
          <w:i/>
          <w:iCs/>
          <w:sz w:val="24"/>
          <w:szCs w:val="24"/>
          <w:lang w:val="es-AR"/>
        </w:rPr>
        <w:t>Educar en la Sociedad del Conocimiento</w:t>
      </w:r>
      <w:r w:rsidRPr="00A215A3">
        <w:rPr>
          <w:sz w:val="24"/>
          <w:szCs w:val="24"/>
          <w:lang w:val="es-AR"/>
        </w:rPr>
        <w:t>, Buenos Aires: Fondo de Cultura Económica,</w:t>
      </w:r>
    </w:p>
    <w:p w:rsidR="00B909EC" w:rsidRPr="005923A7" w:rsidRDefault="00B909EC" w:rsidP="006B66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</w:p>
    <w:p w:rsidR="006B660A" w:rsidRDefault="006B660A">
      <w:pPr>
        <w:spacing w:line="360" w:lineRule="auto"/>
        <w:jc w:val="both"/>
        <w:rPr>
          <w:sz w:val="24"/>
          <w:szCs w:val="24"/>
        </w:rPr>
      </w:pPr>
    </w:p>
    <w:p w:rsidR="00860901" w:rsidRDefault="00860901">
      <w:pPr>
        <w:spacing w:line="360" w:lineRule="auto"/>
        <w:ind w:left="567" w:hanging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Unidad 2: Deporte y Sociedad</w:t>
      </w:r>
    </w:p>
    <w:p w:rsidR="00860901" w:rsidRDefault="00860901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El deporte en las sociedades contemporáneas. Principales tradiciones sociológicas que han abo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dado el deporte: </w:t>
      </w:r>
      <w:r w:rsidRPr="00456AA1">
        <w:rPr>
          <w:sz w:val="24"/>
          <w:szCs w:val="24"/>
        </w:rPr>
        <w:t>la perspectiva funcionalista</w:t>
      </w:r>
      <w:r>
        <w:rPr>
          <w:sz w:val="24"/>
          <w:szCs w:val="24"/>
        </w:rPr>
        <w:t>, el mat</w:t>
      </w:r>
      <w:r>
        <w:rPr>
          <w:sz w:val="24"/>
          <w:szCs w:val="24"/>
        </w:rPr>
        <w:t>e</w:t>
      </w:r>
      <w:r>
        <w:rPr>
          <w:sz w:val="24"/>
          <w:szCs w:val="24"/>
        </w:rPr>
        <w:t>rialismo histórico, el enfoque configuracional de Nobert Elias, la teoría de los campos de Pierre Bourdieu.</w:t>
      </w:r>
      <w:r w:rsidR="003A03B0">
        <w:rPr>
          <w:sz w:val="24"/>
          <w:szCs w:val="24"/>
        </w:rPr>
        <w:t xml:space="preserve"> </w:t>
      </w:r>
      <w:r w:rsidR="00456AA1">
        <w:rPr>
          <w:sz w:val="24"/>
          <w:szCs w:val="24"/>
        </w:rPr>
        <w:t>Poder,</w:t>
      </w:r>
      <w:r w:rsidR="003A03B0">
        <w:rPr>
          <w:sz w:val="24"/>
          <w:szCs w:val="24"/>
        </w:rPr>
        <w:t xml:space="preserve"> disciplina y cuerpo</w:t>
      </w:r>
      <w:r w:rsidR="00456AA1">
        <w:rPr>
          <w:sz w:val="24"/>
          <w:szCs w:val="24"/>
        </w:rPr>
        <w:t>,</w:t>
      </w:r>
      <w:r w:rsidR="003A03B0">
        <w:rPr>
          <w:sz w:val="24"/>
          <w:szCs w:val="24"/>
        </w:rPr>
        <w:t xml:space="preserve"> </w:t>
      </w:r>
      <w:r w:rsidR="00456AA1">
        <w:rPr>
          <w:sz w:val="24"/>
          <w:szCs w:val="24"/>
        </w:rPr>
        <w:t xml:space="preserve">en </w:t>
      </w:r>
      <w:r w:rsidR="00785A99">
        <w:rPr>
          <w:sz w:val="24"/>
          <w:szCs w:val="24"/>
        </w:rPr>
        <w:t xml:space="preserve">Michel </w:t>
      </w:r>
      <w:r w:rsidR="003A03B0">
        <w:rPr>
          <w:sz w:val="24"/>
          <w:szCs w:val="24"/>
        </w:rPr>
        <w:t>Foucault.</w:t>
      </w:r>
    </w:p>
    <w:p w:rsidR="00860901" w:rsidRDefault="00860901">
      <w:pPr>
        <w:spacing w:line="360" w:lineRule="auto"/>
        <w:jc w:val="both"/>
        <w:rPr>
          <w:sz w:val="24"/>
          <w:szCs w:val="24"/>
        </w:rPr>
      </w:pPr>
    </w:p>
    <w:p w:rsidR="00860901" w:rsidRDefault="00860901" w:rsidP="00456AA1">
      <w:pPr>
        <w:spacing w:line="360" w:lineRule="auto"/>
        <w:jc w:val="both"/>
        <w:rPr>
          <w:sz w:val="24"/>
          <w:szCs w:val="24"/>
          <w:lang w:val="es-AR"/>
        </w:rPr>
      </w:pPr>
      <w:r w:rsidRPr="00456AA1">
        <w:rPr>
          <w:sz w:val="24"/>
          <w:szCs w:val="24"/>
          <w:u w:val="single"/>
          <w:lang w:val="es-AR"/>
        </w:rPr>
        <w:t>Bibliografía Obligatoria</w:t>
      </w:r>
      <w:r>
        <w:rPr>
          <w:sz w:val="24"/>
          <w:szCs w:val="24"/>
          <w:lang w:val="es-AR"/>
        </w:rPr>
        <w:t>:</w:t>
      </w:r>
    </w:p>
    <w:p w:rsidR="00456AA1" w:rsidRPr="00456AA1" w:rsidRDefault="00456AA1" w:rsidP="00105548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BOURDIEU, Pierre. (1987) “Programa para una sociología del deporte”. En Cosas Dichas. Buenos Aires: Editorial Gedisa.</w:t>
      </w:r>
    </w:p>
    <w:p w:rsidR="00860901" w:rsidRDefault="00860901" w:rsidP="00105548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</w:rPr>
        <w:t>BROHM, Jean-Marie</w:t>
      </w:r>
      <w:r w:rsidR="00456AA1">
        <w:rPr>
          <w:sz w:val="24"/>
          <w:szCs w:val="24"/>
        </w:rPr>
        <w:t xml:space="preserve"> (1993)</w:t>
      </w:r>
      <w:r w:rsidR="001E3FB4">
        <w:rPr>
          <w:sz w:val="24"/>
          <w:szCs w:val="24"/>
        </w:rPr>
        <w:t xml:space="preserve"> </w:t>
      </w:r>
      <w:r>
        <w:rPr>
          <w:sz w:val="24"/>
          <w:szCs w:val="24"/>
        </w:rPr>
        <w:t>“20 tesis sobre el deporte”, en AA.VV.: Materiales de sociología del d</w:t>
      </w:r>
      <w:r>
        <w:rPr>
          <w:sz w:val="24"/>
          <w:szCs w:val="24"/>
        </w:rPr>
        <w:t>e</w:t>
      </w:r>
      <w:r>
        <w:rPr>
          <w:sz w:val="24"/>
          <w:szCs w:val="24"/>
        </w:rPr>
        <w:t>porte, Madrid: Edici</w:t>
      </w:r>
      <w:r>
        <w:rPr>
          <w:sz w:val="24"/>
          <w:szCs w:val="24"/>
        </w:rPr>
        <w:t>o</w:t>
      </w:r>
      <w:r>
        <w:rPr>
          <w:sz w:val="24"/>
          <w:szCs w:val="24"/>
        </w:rPr>
        <w:t>nes de la Piqueta, Genealogía del Poder/23.</w:t>
      </w:r>
    </w:p>
    <w:p w:rsidR="00860901" w:rsidRPr="00456AA1" w:rsidRDefault="00860901" w:rsidP="00105548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</w:rPr>
        <w:t>ELIAS, Norbert y DUNNING, Eric</w:t>
      </w:r>
      <w:r w:rsidR="00456AA1">
        <w:rPr>
          <w:sz w:val="24"/>
          <w:szCs w:val="24"/>
        </w:rPr>
        <w:t xml:space="preserve"> (1992)</w:t>
      </w:r>
      <w:r>
        <w:rPr>
          <w:sz w:val="24"/>
          <w:szCs w:val="24"/>
        </w:rPr>
        <w:t xml:space="preserve"> "La búsqueda de emoción en el ocio", en </w:t>
      </w:r>
      <w:r>
        <w:rPr>
          <w:i/>
          <w:iCs/>
          <w:sz w:val="24"/>
          <w:szCs w:val="24"/>
        </w:rPr>
        <w:t>Deporte y ocio en el proceso civilizat</w:t>
      </w:r>
      <w:r>
        <w:rPr>
          <w:i/>
          <w:iCs/>
          <w:sz w:val="24"/>
          <w:szCs w:val="24"/>
        </w:rPr>
        <w:t>o</w:t>
      </w:r>
      <w:r>
        <w:rPr>
          <w:i/>
          <w:iCs/>
          <w:sz w:val="24"/>
          <w:szCs w:val="24"/>
        </w:rPr>
        <w:t>rio</w:t>
      </w:r>
      <w:r>
        <w:rPr>
          <w:sz w:val="24"/>
          <w:szCs w:val="24"/>
        </w:rPr>
        <w:t>, México: FCE.</w:t>
      </w:r>
    </w:p>
    <w:p w:rsidR="00456AA1" w:rsidRPr="00456AA1" w:rsidRDefault="00456AA1" w:rsidP="00105548">
      <w:pPr>
        <w:spacing w:line="360" w:lineRule="auto"/>
        <w:jc w:val="both"/>
        <w:rPr>
          <w:sz w:val="24"/>
          <w:szCs w:val="24"/>
        </w:rPr>
      </w:pPr>
      <w:r w:rsidRPr="00456AA1">
        <w:rPr>
          <w:sz w:val="24"/>
          <w:szCs w:val="24"/>
        </w:rPr>
        <w:t xml:space="preserve">FOUCAULT, Michel (1989) </w:t>
      </w:r>
      <w:r>
        <w:rPr>
          <w:sz w:val="24"/>
          <w:szCs w:val="24"/>
        </w:rPr>
        <w:t xml:space="preserve">“Los cuerpos dóciles” en </w:t>
      </w:r>
      <w:r w:rsidRPr="00456AA1">
        <w:rPr>
          <w:sz w:val="24"/>
          <w:szCs w:val="24"/>
        </w:rPr>
        <w:t>Vigilar y castigar.  Buenos Aires: Edit. Siglo XXI</w:t>
      </w:r>
      <w:r>
        <w:rPr>
          <w:sz w:val="24"/>
          <w:szCs w:val="24"/>
        </w:rPr>
        <w:t>.</w:t>
      </w:r>
    </w:p>
    <w:p w:rsidR="00456AA1" w:rsidRPr="00456AA1" w:rsidRDefault="00456AA1" w:rsidP="00105548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LUSCHER, Gunther (1980). El deporte, el conflicto y la solución del conflicto. </w:t>
      </w:r>
    </w:p>
    <w:p w:rsidR="00860901" w:rsidRPr="00B43CA9" w:rsidRDefault="00860901">
      <w:pPr>
        <w:spacing w:line="360" w:lineRule="auto"/>
        <w:jc w:val="both"/>
        <w:rPr>
          <w:sz w:val="24"/>
          <w:szCs w:val="24"/>
          <w:lang w:val="es-AR"/>
        </w:rPr>
      </w:pPr>
    </w:p>
    <w:p w:rsidR="001E3FB4" w:rsidRPr="001E3FB4" w:rsidRDefault="00860901" w:rsidP="001E3FB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Unidad 3: Deporte y </w:t>
      </w:r>
      <w:r w:rsidR="00F50887">
        <w:rPr>
          <w:b/>
          <w:sz w:val="24"/>
          <w:szCs w:val="24"/>
        </w:rPr>
        <w:t xml:space="preserve">estructuración social: </w:t>
      </w:r>
      <w:r w:rsidR="001E3FB4">
        <w:rPr>
          <w:b/>
          <w:sz w:val="24"/>
          <w:szCs w:val="24"/>
        </w:rPr>
        <w:t>Estado</w:t>
      </w:r>
      <w:r w:rsidR="00456AA1">
        <w:rPr>
          <w:b/>
          <w:sz w:val="24"/>
          <w:szCs w:val="24"/>
        </w:rPr>
        <w:t xml:space="preserve"> y clubes</w:t>
      </w:r>
      <w:r w:rsidR="001E3FB4">
        <w:rPr>
          <w:b/>
          <w:sz w:val="24"/>
          <w:szCs w:val="24"/>
        </w:rPr>
        <w:t xml:space="preserve">, </w:t>
      </w:r>
      <w:r w:rsidR="00456AA1">
        <w:rPr>
          <w:b/>
          <w:sz w:val="24"/>
          <w:szCs w:val="24"/>
        </w:rPr>
        <w:t xml:space="preserve">la </w:t>
      </w:r>
      <w:r>
        <w:rPr>
          <w:b/>
          <w:sz w:val="24"/>
          <w:szCs w:val="24"/>
        </w:rPr>
        <w:t>cultura popular</w:t>
      </w:r>
      <w:r w:rsidR="00F50887">
        <w:rPr>
          <w:b/>
          <w:sz w:val="24"/>
          <w:szCs w:val="24"/>
        </w:rPr>
        <w:t xml:space="preserve"> y </w:t>
      </w:r>
      <w:r w:rsidR="00456AA1">
        <w:rPr>
          <w:b/>
          <w:sz w:val="24"/>
          <w:szCs w:val="24"/>
        </w:rPr>
        <w:t xml:space="preserve">los </w:t>
      </w:r>
      <w:r w:rsidR="00F50887">
        <w:rPr>
          <w:b/>
          <w:sz w:val="24"/>
          <w:szCs w:val="24"/>
        </w:rPr>
        <w:t>deportes de elite</w:t>
      </w:r>
      <w:r w:rsidR="00456AA1">
        <w:rPr>
          <w:b/>
          <w:sz w:val="24"/>
          <w:szCs w:val="24"/>
        </w:rPr>
        <w:t>.</w:t>
      </w:r>
    </w:p>
    <w:p w:rsidR="008E7848" w:rsidRDefault="001E3FB4" w:rsidP="008E7848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Clubes sociales y deportivos como asociaciones civiles sin fines de lucro. Definiciones y tipolo</w:t>
      </w:r>
      <w:r>
        <w:rPr>
          <w:sz w:val="24"/>
          <w:szCs w:val="24"/>
        </w:rPr>
        <w:t>g</w:t>
      </w:r>
      <w:r>
        <w:rPr>
          <w:sz w:val="24"/>
          <w:szCs w:val="24"/>
        </w:rPr>
        <w:t>ías, su origen y desarrollo durante el siglo XX. Su relación con el espacio urbano. Estado y d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porte: las relaciones con los clubes y las políticas deportivas estatales. </w:t>
      </w:r>
      <w:r w:rsidR="00EB2E8B">
        <w:rPr>
          <w:sz w:val="24"/>
          <w:szCs w:val="24"/>
        </w:rPr>
        <w:t>Deporte e identidades de clase</w:t>
      </w:r>
      <w:r w:rsidR="008E7848">
        <w:rPr>
          <w:sz w:val="24"/>
          <w:szCs w:val="24"/>
        </w:rPr>
        <w:t>:</w:t>
      </w:r>
      <w:r w:rsidR="008E7848" w:rsidRPr="008E7848">
        <w:rPr>
          <w:sz w:val="24"/>
          <w:szCs w:val="24"/>
        </w:rPr>
        <w:t xml:space="preserve"> </w:t>
      </w:r>
      <w:r w:rsidR="008E7848">
        <w:rPr>
          <w:sz w:val="24"/>
          <w:szCs w:val="24"/>
        </w:rPr>
        <w:t>la distinción por el deporte</w:t>
      </w:r>
      <w:r w:rsidR="00EB2E8B">
        <w:rPr>
          <w:sz w:val="24"/>
          <w:szCs w:val="24"/>
        </w:rPr>
        <w:t>.</w:t>
      </w:r>
      <w:r w:rsidR="008E7848">
        <w:rPr>
          <w:sz w:val="24"/>
          <w:szCs w:val="24"/>
        </w:rPr>
        <w:t xml:space="preserve"> La irrupción de los medios de comunicación de masas en el deporte: la ‘deportivización’ de la política.</w:t>
      </w:r>
    </w:p>
    <w:p w:rsidR="001E3FB4" w:rsidRDefault="001E3FB4" w:rsidP="001E3FB4">
      <w:pPr>
        <w:spacing w:line="360" w:lineRule="auto"/>
        <w:jc w:val="both"/>
        <w:rPr>
          <w:sz w:val="24"/>
          <w:szCs w:val="24"/>
        </w:rPr>
      </w:pPr>
    </w:p>
    <w:p w:rsidR="001E3FB4" w:rsidRDefault="001E3FB4" w:rsidP="001E3FB4">
      <w:pPr>
        <w:spacing w:line="360" w:lineRule="auto"/>
        <w:jc w:val="both"/>
        <w:rPr>
          <w:sz w:val="24"/>
          <w:szCs w:val="24"/>
        </w:rPr>
      </w:pPr>
      <w:r w:rsidRPr="00456AA1">
        <w:rPr>
          <w:sz w:val="24"/>
          <w:szCs w:val="24"/>
          <w:u w:val="single"/>
        </w:rPr>
        <w:t>Bibliografía Obligatoria</w:t>
      </w:r>
      <w:r>
        <w:rPr>
          <w:sz w:val="24"/>
          <w:szCs w:val="24"/>
        </w:rPr>
        <w:t>:</w:t>
      </w:r>
    </w:p>
    <w:p w:rsidR="008E7848" w:rsidRDefault="008E7848" w:rsidP="00105548">
      <w:pPr>
        <w:spacing w:line="360" w:lineRule="auto"/>
        <w:jc w:val="both"/>
        <w:rPr>
          <w:sz w:val="24"/>
          <w:szCs w:val="24"/>
        </w:rPr>
      </w:pPr>
      <w:r w:rsidRPr="008E7848">
        <w:rPr>
          <w:sz w:val="24"/>
          <w:szCs w:val="24"/>
        </w:rPr>
        <w:t>ALABARCES, Pablo y DUEK Carolin</w:t>
      </w:r>
      <w:r>
        <w:rPr>
          <w:sz w:val="24"/>
          <w:szCs w:val="24"/>
        </w:rPr>
        <w:t>a</w:t>
      </w:r>
      <w:r w:rsidRPr="008E7848">
        <w:rPr>
          <w:sz w:val="24"/>
          <w:szCs w:val="24"/>
        </w:rPr>
        <w:t xml:space="preserve"> (2010) Fútbol (argentino) por TV: entre el espectáculo de masas, el monopolio y el estado. </w:t>
      </w:r>
    </w:p>
    <w:p w:rsidR="00EB2E8B" w:rsidRPr="00EB2E8B" w:rsidRDefault="00EB2E8B" w:rsidP="001055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ARCHETTI</w:t>
      </w:r>
      <w:r w:rsidRPr="00EB2E8B">
        <w:rPr>
          <w:sz w:val="24"/>
          <w:szCs w:val="24"/>
        </w:rPr>
        <w:t>, Eduardo (2001) El potrero, la pista y el ring. Las patrias del deporte argentino, Buenos Aires: FCE. Selección: Introducción y A modo de conclusión.</w:t>
      </w:r>
    </w:p>
    <w:p w:rsidR="001E3FB4" w:rsidRDefault="001E3FB4" w:rsidP="001055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BILYK, Pablo y Branz, Juan Bautista (2007): “Instituciones deportivas como espacios de disputas: el caso del club de Gimnasia y Esgrima de La Plata y el traslado de su localía”, FPyCS, UNLP. </w:t>
      </w:r>
    </w:p>
    <w:p w:rsidR="001E3FB4" w:rsidRDefault="001E3FB4" w:rsidP="001055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DASKAL, Rodrigo y Gruschetsky, Mariano: “Clubes de fútbol: su dimensión social. El caso del Club Atlético River Pl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te”, en </w:t>
      </w:r>
      <w:hyperlink r:id="rId10" w:history="1">
        <w:r>
          <w:rPr>
            <w:rStyle w:val="Hipervnculo"/>
            <w:sz w:val="24"/>
            <w:szCs w:val="24"/>
          </w:rPr>
          <w:t>http://www.efdeportes.com/efd176/clubes-de-futbol-su-dimension-social-river-plate.htm</w:t>
        </w:r>
      </w:hyperlink>
      <w:r>
        <w:rPr>
          <w:sz w:val="24"/>
          <w:szCs w:val="24"/>
        </w:rPr>
        <w:t>.</w:t>
      </w:r>
    </w:p>
    <w:p w:rsidR="001E3FB4" w:rsidRDefault="001E3FB4" w:rsidP="001055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GRUSCHETSKY, Mariano (2015) Clubes de fútbol y desarrollo urbano en el siglo XX de Buenos Aires. Revista E</w:t>
      </w:r>
      <w:r>
        <w:rPr>
          <w:sz w:val="24"/>
          <w:szCs w:val="24"/>
        </w:rPr>
        <w:t>l</w:t>
      </w:r>
      <w:r>
        <w:rPr>
          <w:sz w:val="24"/>
          <w:szCs w:val="24"/>
        </w:rPr>
        <w:t>topo, (No.5).</w:t>
      </w:r>
    </w:p>
    <w:p w:rsidR="001E3FB4" w:rsidRPr="00EB2E8B" w:rsidRDefault="001E3FB4" w:rsidP="001055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s-ES"/>
        </w:rPr>
        <w:t xml:space="preserve">HEINEMANN, </w:t>
      </w:r>
      <w:r>
        <w:rPr>
          <w:sz w:val="24"/>
          <w:szCs w:val="24"/>
        </w:rPr>
        <w:t xml:space="preserve">Klauss: “Aspectos sociológicos de las organizaciones deportivas”. En </w:t>
      </w:r>
      <w:r>
        <w:rPr>
          <w:i/>
          <w:iCs/>
          <w:sz w:val="24"/>
          <w:szCs w:val="24"/>
        </w:rPr>
        <w:t>Apunts Educación Física y Depo</w:t>
      </w:r>
      <w:r>
        <w:rPr>
          <w:i/>
          <w:iCs/>
          <w:sz w:val="24"/>
          <w:szCs w:val="24"/>
        </w:rPr>
        <w:t>r</w:t>
      </w:r>
      <w:r>
        <w:rPr>
          <w:i/>
          <w:iCs/>
          <w:sz w:val="24"/>
          <w:szCs w:val="24"/>
        </w:rPr>
        <w:t>te</w:t>
      </w:r>
      <w:r>
        <w:rPr>
          <w:sz w:val="24"/>
          <w:szCs w:val="24"/>
        </w:rPr>
        <w:t xml:space="preserve"> Nº 49, Barcelona, 1997.</w:t>
      </w:r>
    </w:p>
    <w:p w:rsidR="00EB2E8B" w:rsidRDefault="00EB2E8B" w:rsidP="001055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QUIROGA, Sergio (2001). Entre la Cultura Popular y el Deporte. </w:t>
      </w:r>
      <w:r>
        <w:rPr>
          <w:i/>
          <w:sz w:val="24"/>
          <w:szCs w:val="24"/>
        </w:rPr>
        <w:t>Lecturas de Educación Física y Deporte</w:t>
      </w:r>
      <w:r>
        <w:rPr>
          <w:sz w:val="24"/>
          <w:szCs w:val="24"/>
        </w:rPr>
        <w:t>, (30), 1-14.</w:t>
      </w:r>
    </w:p>
    <w:p w:rsidR="00EB2E8B" w:rsidRDefault="00EB2E8B" w:rsidP="001055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SEBRELI, Juan. (1983). La era del fútbol. Buenos Aires, Editorial Sudamericana. Introducción.</w:t>
      </w:r>
    </w:p>
    <w:p w:rsidR="00E1394B" w:rsidRDefault="00E1394B" w:rsidP="008E7848">
      <w:pPr>
        <w:spacing w:line="360" w:lineRule="auto"/>
        <w:jc w:val="both"/>
        <w:rPr>
          <w:sz w:val="24"/>
          <w:szCs w:val="24"/>
        </w:rPr>
      </w:pPr>
    </w:p>
    <w:p w:rsidR="00860901" w:rsidRDefault="00860901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val="es-ES" w:eastAsia="es-ES"/>
        </w:rPr>
      </w:pPr>
    </w:p>
    <w:p w:rsidR="00860901" w:rsidRPr="00F50887" w:rsidRDefault="00F50887" w:rsidP="00D31AD0">
      <w:pPr>
        <w:spacing w:line="360" w:lineRule="auto"/>
        <w:ind w:left="720" w:hanging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Unidad 4: </w:t>
      </w:r>
      <w:r w:rsidR="006159B7">
        <w:rPr>
          <w:b/>
          <w:bCs/>
          <w:sz w:val="24"/>
          <w:szCs w:val="24"/>
        </w:rPr>
        <w:t>Hibridaciones para</w:t>
      </w:r>
      <w:r>
        <w:rPr>
          <w:b/>
          <w:bCs/>
          <w:sz w:val="24"/>
          <w:szCs w:val="24"/>
        </w:rPr>
        <w:t xml:space="preserve"> </w:t>
      </w:r>
      <w:r w:rsidR="006159B7">
        <w:rPr>
          <w:b/>
          <w:bCs/>
          <w:sz w:val="24"/>
          <w:szCs w:val="24"/>
        </w:rPr>
        <w:t>pensar</w:t>
      </w:r>
      <w:r w:rsidR="004C07E4">
        <w:rPr>
          <w:b/>
          <w:bCs/>
          <w:sz w:val="24"/>
          <w:szCs w:val="24"/>
        </w:rPr>
        <w:t xml:space="preserve"> desde el deporte:</w:t>
      </w:r>
      <w:r w:rsidR="006159B7">
        <w:rPr>
          <w:b/>
          <w:bCs/>
          <w:sz w:val="24"/>
          <w:szCs w:val="24"/>
        </w:rPr>
        <w:t xml:space="preserve"> la violencia, la escuela, los géneros y los </w:t>
      </w:r>
      <w:r w:rsidR="00D55F1E">
        <w:rPr>
          <w:b/>
          <w:bCs/>
          <w:sz w:val="24"/>
          <w:szCs w:val="24"/>
        </w:rPr>
        <w:t>e-sports</w:t>
      </w:r>
      <w:r w:rsidR="006159B7">
        <w:rPr>
          <w:b/>
          <w:bCs/>
          <w:sz w:val="24"/>
          <w:szCs w:val="24"/>
        </w:rPr>
        <w:t>.</w:t>
      </w:r>
    </w:p>
    <w:p w:rsidR="00860901" w:rsidRPr="006159B7" w:rsidRDefault="00384939" w:rsidP="005923A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deporte como educación física. </w:t>
      </w:r>
      <w:r w:rsidR="001E3FB4" w:rsidRPr="001E3FB4">
        <w:rPr>
          <w:sz w:val="24"/>
          <w:szCs w:val="24"/>
        </w:rPr>
        <w:t>Cuerpo y deporte:</w:t>
      </w:r>
      <w:r>
        <w:rPr>
          <w:sz w:val="24"/>
          <w:szCs w:val="24"/>
        </w:rPr>
        <w:t xml:space="preserve"> e</w:t>
      </w:r>
      <w:r w:rsidR="006159B7">
        <w:rPr>
          <w:sz w:val="24"/>
          <w:szCs w:val="24"/>
        </w:rPr>
        <w:t>l</w:t>
      </w:r>
      <w:r w:rsidR="001E3FB4" w:rsidRPr="001E3FB4">
        <w:rPr>
          <w:sz w:val="24"/>
          <w:szCs w:val="24"/>
        </w:rPr>
        <w:t xml:space="preserve"> ideal</w:t>
      </w:r>
      <w:r w:rsidR="006159B7">
        <w:rPr>
          <w:sz w:val="24"/>
          <w:szCs w:val="24"/>
        </w:rPr>
        <w:t xml:space="preserve"> </w:t>
      </w:r>
      <w:r w:rsidR="001E3FB4" w:rsidRPr="001E3FB4">
        <w:rPr>
          <w:sz w:val="24"/>
          <w:szCs w:val="24"/>
        </w:rPr>
        <w:t xml:space="preserve">del cuerpo </w:t>
      </w:r>
      <w:r>
        <w:rPr>
          <w:sz w:val="24"/>
          <w:szCs w:val="24"/>
        </w:rPr>
        <w:t>fit</w:t>
      </w:r>
      <w:r w:rsidR="005923A7">
        <w:rPr>
          <w:sz w:val="24"/>
          <w:szCs w:val="24"/>
        </w:rPr>
        <w:t xml:space="preserve"> como forma de violencia simbólica</w:t>
      </w:r>
      <w:r w:rsidR="001E3FB4" w:rsidRPr="001E3FB4">
        <w:rPr>
          <w:sz w:val="24"/>
          <w:szCs w:val="24"/>
        </w:rPr>
        <w:t>.</w:t>
      </w:r>
      <w:r>
        <w:rPr>
          <w:sz w:val="24"/>
          <w:szCs w:val="24"/>
        </w:rPr>
        <w:t xml:space="preserve"> Género y deporte:</w:t>
      </w:r>
      <w:r w:rsidR="005923A7">
        <w:rPr>
          <w:sz w:val="24"/>
          <w:szCs w:val="24"/>
        </w:rPr>
        <w:t xml:space="preserve"> f</w:t>
      </w:r>
      <w:r>
        <w:rPr>
          <w:sz w:val="24"/>
          <w:szCs w:val="24"/>
        </w:rPr>
        <w:t>emineidad</w:t>
      </w:r>
      <w:r w:rsidR="005923A7">
        <w:rPr>
          <w:sz w:val="24"/>
          <w:szCs w:val="24"/>
        </w:rPr>
        <w:t>, feminismo</w:t>
      </w:r>
      <w:r>
        <w:rPr>
          <w:sz w:val="24"/>
          <w:szCs w:val="24"/>
        </w:rPr>
        <w:t xml:space="preserve"> y masculinidades.  </w:t>
      </w:r>
      <w:r w:rsidR="00D55F1E">
        <w:rPr>
          <w:sz w:val="24"/>
          <w:szCs w:val="24"/>
        </w:rPr>
        <w:t xml:space="preserve"> E-sports</w:t>
      </w:r>
      <w:r w:rsidR="006159B7">
        <w:rPr>
          <w:sz w:val="24"/>
          <w:szCs w:val="24"/>
        </w:rPr>
        <w:t xml:space="preserve"> como modalidad deportiva</w:t>
      </w:r>
      <w:r w:rsidR="00D55F1E">
        <w:rPr>
          <w:sz w:val="24"/>
          <w:szCs w:val="24"/>
        </w:rPr>
        <w:t>.</w:t>
      </w:r>
    </w:p>
    <w:p w:rsidR="00044AE7" w:rsidRDefault="00044AE7" w:rsidP="00044AE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u w:val="single"/>
          <w:lang w:val="es-ES" w:eastAsia="es-ES"/>
        </w:rPr>
      </w:pPr>
    </w:p>
    <w:p w:rsidR="00044AE7" w:rsidRDefault="00044AE7" w:rsidP="00044AE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55F1E">
        <w:rPr>
          <w:bCs/>
          <w:sz w:val="24"/>
          <w:szCs w:val="24"/>
          <w:u w:val="single"/>
          <w:lang w:val="es-ES" w:eastAsia="es-ES"/>
        </w:rPr>
        <w:t>E-sports</w:t>
      </w:r>
      <w:r>
        <w:rPr>
          <w:bCs/>
          <w:sz w:val="24"/>
          <w:szCs w:val="24"/>
          <w:lang w:val="es-ES" w:eastAsia="es-ES"/>
        </w:rPr>
        <w:t>:</w:t>
      </w:r>
    </w:p>
    <w:p w:rsidR="00044AE7" w:rsidRDefault="00044AE7" w:rsidP="00044AE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GONZALEZ GARCÍA, Eduardo y TALAVERA LOPEZ, Juan Carlos (2018). E-sports como modalidad de deporte. Revista de Facultad de Humanidades, UNLP.</w:t>
      </w:r>
    </w:p>
    <w:p w:rsidR="00044AE7" w:rsidRDefault="00044AE7" w:rsidP="00044AE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GOYA, I. (2018). Deportes electrónicos: la industria furor en los jóvenes. X Jornadas de Sociología de la UNLP, 5 al 7 de diciembre de 2018, Ensenada, Argentina. EN: [Actas]. Ensenada: Universidad Nacional de La Plata. Facultad de Humanidades y Ciencias de la Educación. Departamento de Sociología. En Memoria Académica.</w:t>
      </w:r>
    </w:p>
    <w:p w:rsidR="006159B7" w:rsidRDefault="006159B7" w:rsidP="006159B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u w:val="single"/>
          <w:lang w:val="es-ES" w:eastAsia="es-ES"/>
        </w:rPr>
      </w:pPr>
    </w:p>
    <w:p w:rsidR="00860901" w:rsidRPr="00D55F1E" w:rsidRDefault="00D55F1E" w:rsidP="006159B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u w:val="single"/>
          <w:lang w:val="es-ES" w:eastAsia="es-ES"/>
        </w:rPr>
      </w:pPr>
      <w:r w:rsidRPr="00D55F1E">
        <w:rPr>
          <w:bCs/>
          <w:sz w:val="24"/>
          <w:szCs w:val="24"/>
          <w:u w:val="single"/>
          <w:lang w:val="es-ES" w:eastAsia="es-ES"/>
        </w:rPr>
        <w:t>Deporte y escuela</w:t>
      </w:r>
    </w:p>
    <w:p w:rsidR="00D55F1E" w:rsidRPr="00D55F1E" w:rsidRDefault="00D55F1E" w:rsidP="00105548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es-ES" w:eastAsia="es-ES"/>
        </w:rPr>
      </w:pPr>
      <w:r w:rsidRPr="00D55F1E">
        <w:rPr>
          <w:bCs/>
          <w:sz w:val="24"/>
          <w:szCs w:val="24"/>
          <w:lang w:val="es-ES" w:eastAsia="es-ES"/>
        </w:rPr>
        <w:t xml:space="preserve">GALAK Eduardo y ORBUCH Pablo Iván (2015) La educación de los cuerpos “peronistas”. Un estudio a través de la prensa local de la zona metropolitana sur. </w:t>
      </w:r>
    </w:p>
    <w:p w:rsidR="00D55F1E" w:rsidRDefault="00D55F1E" w:rsidP="00105548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es-ES" w:eastAsia="es-ES"/>
        </w:rPr>
      </w:pPr>
      <w:r w:rsidRPr="00D55F1E">
        <w:rPr>
          <w:bCs/>
          <w:sz w:val="24"/>
          <w:szCs w:val="24"/>
          <w:lang w:val="es-ES" w:eastAsia="es-ES"/>
        </w:rPr>
        <w:t>DE MAR</w:t>
      </w:r>
      <w:r>
        <w:rPr>
          <w:bCs/>
          <w:sz w:val="24"/>
          <w:szCs w:val="24"/>
          <w:lang w:val="es-ES" w:eastAsia="es-ES"/>
        </w:rPr>
        <w:t>Z</w:t>
      </w:r>
      <w:r w:rsidRPr="00D55F1E">
        <w:rPr>
          <w:bCs/>
          <w:sz w:val="24"/>
          <w:szCs w:val="24"/>
          <w:lang w:val="es-ES" w:eastAsia="es-ES"/>
        </w:rPr>
        <w:t xml:space="preserve">IANI </w:t>
      </w:r>
      <w:r>
        <w:rPr>
          <w:bCs/>
          <w:sz w:val="24"/>
          <w:szCs w:val="24"/>
          <w:lang w:val="es-ES" w:eastAsia="es-ES"/>
        </w:rPr>
        <w:t>y</w:t>
      </w:r>
      <w:r w:rsidRPr="00D55F1E">
        <w:rPr>
          <w:bCs/>
          <w:sz w:val="24"/>
          <w:szCs w:val="24"/>
          <w:lang w:val="es-ES" w:eastAsia="es-ES"/>
        </w:rPr>
        <w:t xml:space="preserve"> FABIÁN (2014) Educación Física y Escuela:el deporte como contenido y su enseñanza. VIII Jornadas de Sociología de la UNLP. Departamento de Sociología de la Facultad de Humanidades y Ciencias de la Educación, La Plata.</w:t>
      </w:r>
    </w:p>
    <w:p w:rsidR="00044AE7" w:rsidRDefault="00044AE7" w:rsidP="00044AE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u w:val="single"/>
          <w:lang w:val="es-ES" w:eastAsia="es-ES"/>
        </w:rPr>
      </w:pPr>
    </w:p>
    <w:p w:rsidR="00044AE7" w:rsidRDefault="00044AE7" w:rsidP="00044AE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es-ES" w:eastAsia="es-ES"/>
        </w:rPr>
      </w:pPr>
      <w:r w:rsidRPr="005923A7">
        <w:rPr>
          <w:bCs/>
          <w:sz w:val="24"/>
          <w:szCs w:val="24"/>
          <w:u w:val="single"/>
          <w:lang w:val="es-ES" w:eastAsia="es-ES"/>
        </w:rPr>
        <w:t>Fitness</w:t>
      </w:r>
      <w:r>
        <w:rPr>
          <w:bCs/>
          <w:sz w:val="24"/>
          <w:szCs w:val="24"/>
          <w:lang w:val="es-ES" w:eastAsia="es-ES"/>
        </w:rPr>
        <w:t xml:space="preserve">: </w:t>
      </w:r>
    </w:p>
    <w:p w:rsidR="00044AE7" w:rsidRDefault="00044AE7" w:rsidP="00044AE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es-ES" w:eastAsia="es-ES"/>
        </w:rPr>
      </w:pPr>
      <w:r>
        <w:rPr>
          <w:bCs/>
          <w:sz w:val="24"/>
          <w:szCs w:val="24"/>
          <w:lang w:val="es-ES" w:eastAsia="es-ES"/>
        </w:rPr>
        <w:t xml:space="preserve">GALAK Eduardo y NAPOLITANO María Emilia (2015) </w:t>
      </w:r>
      <w:r w:rsidRPr="006159B7">
        <w:rPr>
          <w:bCs/>
          <w:sz w:val="24"/>
          <w:szCs w:val="24"/>
          <w:lang w:val="es-ES" w:eastAsia="es-ES"/>
        </w:rPr>
        <w:t xml:space="preserve">Ajustando el cuerpo al sistema. Un análisis acerca del fit-body y la violencia simbólica en gimnasios fitness. </w:t>
      </w:r>
    </w:p>
    <w:p w:rsidR="006159B7" w:rsidRDefault="006159B7" w:rsidP="006159B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u w:val="single"/>
          <w:lang w:val="es-ES" w:eastAsia="es-ES"/>
        </w:rPr>
      </w:pPr>
    </w:p>
    <w:p w:rsidR="00384939" w:rsidRDefault="00384939" w:rsidP="006159B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es-ES" w:eastAsia="es-ES"/>
        </w:rPr>
      </w:pPr>
      <w:r w:rsidRPr="00D55F1E">
        <w:rPr>
          <w:bCs/>
          <w:sz w:val="24"/>
          <w:szCs w:val="24"/>
          <w:u w:val="single"/>
          <w:lang w:val="es-ES" w:eastAsia="es-ES"/>
        </w:rPr>
        <w:t>Género y deporte</w:t>
      </w:r>
      <w:r>
        <w:rPr>
          <w:bCs/>
          <w:sz w:val="24"/>
          <w:szCs w:val="24"/>
          <w:lang w:val="es-ES" w:eastAsia="es-ES"/>
        </w:rPr>
        <w:t>:</w:t>
      </w:r>
    </w:p>
    <w:p w:rsidR="00654C5E" w:rsidRDefault="00654C5E" w:rsidP="00105548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es-ES" w:eastAsia="es-ES"/>
        </w:rPr>
      </w:pPr>
      <w:r w:rsidRPr="008E7848">
        <w:rPr>
          <w:bCs/>
          <w:sz w:val="24"/>
          <w:szCs w:val="24"/>
          <w:lang w:val="es-ES" w:eastAsia="es-ES"/>
        </w:rPr>
        <w:t>ARCHETTI</w:t>
      </w:r>
      <w:r w:rsidR="008E7848">
        <w:rPr>
          <w:bCs/>
          <w:sz w:val="24"/>
          <w:szCs w:val="24"/>
          <w:lang w:val="es-ES" w:eastAsia="es-ES"/>
        </w:rPr>
        <w:t>, Eduardo (1995)</w:t>
      </w:r>
      <w:r w:rsidR="008E7848" w:rsidRPr="008E7848">
        <w:rPr>
          <w:bCs/>
          <w:sz w:val="24"/>
          <w:szCs w:val="24"/>
          <w:lang w:val="es-ES" w:eastAsia="es-ES"/>
        </w:rPr>
        <w:t xml:space="preserve"> Estilo y virtudes masculinas en El Gráfico:</w:t>
      </w:r>
      <w:r w:rsidR="008E7848" w:rsidRPr="008E7848">
        <w:rPr>
          <w:bCs/>
          <w:sz w:val="24"/>
          <w:szCs w:val="24"/>
          <w:lang w:val="es-ES" w:eastAsia="es-ES"/>
        </w:rPr>
        <w:br/>
        <w:t>la creación del imaginario del fútbol argentino*</w:t>
      </w:r>
    </w:p>
    <w:p w:rsidR="00654C5E" w:rsidRDefault="00654C5E" w:rsidP="001055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BINELLO, Gabriela, CONDE, Mariana y RODRÍGUEZ María Graciela. </w:t>
      </w:r>
      <w:r w:rsidRPr="00654C5E">
        <w:rPr>
          <w:sz w:val="24"/>
          <w:szCs w:val="24"/>
        </w:rPr>
        <w:t>Mujeres y fútbol: ¿territorio conquistado o a conquistar?</w:t>
      </w:r>
    </w:p>
    <w:p w:rsidR="00860901" w:rsidRDefault="00860901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es-ES"/>
        </w:rPr>
      </w:pPr>
    </w:p>
    <w:p w:rsidR="00860901" w:rsidRDefault="00860901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val="es-ES" w:eastAsia="es-ES"/>
        </w:rPr>
      </w:pPr>
      <w:r>
        <w:rPr>
          <w:b/>
          <w:bCs/>
          <w:sz w:val="24"/>
          <w:szCs w:val="24"/>
          <w:lang w:val="es-ES" w:eastAsia="es-ES"/>
        </w:rPr>
        <w:t>RECURSOS METODOLÓGICOS</w:t>
      </w:r>
    </w:p>
    <w:p w:rsidR="00860901" w:rsidRDefault="00860901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modalidad a desarrollar será la teórico-práctica. Los contenidos de las unidades se abarcarán a través de la enseñanza socializada, la exposición dialogada y la interrogación didáctica. El desarrollo de la materia se completará con el estudio de casos y la reflexión individual y </w:t>
      </w:r>
      <w:r w:rsidR="00785A99">
        <w:rPr>
          <w:sz w:val="24"/>
          <w:szCs w:val="24"/>
        </w:rPr>
        <w:t>grupal</w:t>
      </w:r>
      <w:r>
        <w:rPr>
          <w:sz w:val="24"/>
          <w:szCs w:val="24"/>
        </w:rPr>
        <w:t>.</w:t>
      </w:r>
    </w:p>
    <w:p w:rsidR="00860901" w:rsidRDefault="00860901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La cursada constará de un trabajo práctico grupal donde se decidirá la creación</w:t>
      </w:r>
      <w:r w:rsidR="00785A99">
        <w:rPr>
          <w:sz w:val="24"/>
          <w:szCs w:val="24"/>
        </w:rPr>
        <w:t xml:space="preserve"> y producción de un podcast</w:t>
      </w:r>
      <w:r>
        <w:rPr>
          <w:sz w:val="24"/>
          <w:szCs w:val="24"/>
        </w:rPr>
        <w:t>,</w:t>
      </w:r>
      <w:r w:rsidR="00105548">
        <w:rPr>
          <w:sz w:val="24"/>
          <w:szCs w:val="24"/>
        </w:rPr>
        <w:t xml:space="preserve"> con miras a</w:t>
      </w:r>
      <w:r>
        <w:rPr>
          <w:sz w:val="24"/>
          <w:szCs w:val="24"/>
        </w:rPr>
        <w:t xml:space="preserve"> crear una comunidad para pensar el vínculo entre la sociología y el deporte. Se evaluará que </w:t>
      </w:r>
      <w:r w:rsidR="00105548">
        <w:rPr>
          <w:sz w:val="24"/>
          <w:szCs w:val="24"/>
        </w:rPr>
        <w:t xml:space="preserve">la utilización y/o </w:t>
      </w:r>
      <w:r>
        <w:rPr>
          <w:sz w:val="24"/>
          <w:szCs w:val="24"/>
        </w:rPr>
        <w:t xml:space="preserve">vinculación con los autores propuestos (o ajenos) a la cátedra. </w:t>
      </w:r>
    </w:p>
    <w:p w:rsidR="00860901" w:rsidRDefault="00860901">
      <w:pPr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es-ES"/>
        </w:rPr>
      </w:pPr>
    </w:p>
    <w:p w:rsidR="00860901" w:rsidRDefault="00860901">
      <w:pPr>
        <w:numPr>
          <w:ilvl w:val="0"/>
          <w:numId w:val="29"/>
        </w:numPr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es-ES"/>
        </w:rPr>
      </w:pPr>
      <w:r>
        <w:rPr>
          <w:b/>
          <w:bCs/>
          <w:color w:val="000000"/>
          <w:sz w:val="24"/>
          <w:szCs w:val="24"/>
          <w:lang w:val="es-ES"/>
        </w:rPr>
        <w:t>Plan de actividades/secuencia de actividades</w:t>
      </w:r>
    </w:p>
    <w:p w:rsidR="00D31AD0" w:rsidRDefault="00D31AD0" w:rsidP="00960153">
      <w:pPr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es-ES"/>
        </w:rPr>
      </w:pPr>
    </w:p>
    <w:tbl>
      <w:tblPr>
        <w:tblW w:w="94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80"/>
        <w:gridCol w:w="2380"/>
        <w:gridCol w:w="4700"/>
      </w:tblGrid>
      <w:tr w:rsidR="00960153" w:rsidRPr="00960153" w:rsidTr="00960153">
        <w:trPr>
          <w:trHeight w:val="30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Nº de clase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Fecha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 xml:space="preserve">Modalidad 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Contenido de la clase</w:t>
            </w:r>
          </w:p>
        </w:tc>
      </w:tr>
      <w:tr w:rsidR="00960153" w:rsidRPr="00960153" w:rsidTr="00960153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7-Mar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Asincrónica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Presentación de la materia - Apertura UNIDAD 1</w:t>
            </w:r>
          </w:p>
        </w:tc>
      </w:tr>
      <w:tr w:rsidR="00960153" w:rsidRPr="00960153" w:rsidTr="00960153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14-Mar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Sincrónica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UNIDAD 1</w:t>
            </w:r>
          </w:p>
        </w:tc>
      </w:tr>
      <w:tr w:rsidR="00960153" w:rsidRPr="00960153" w:rsidTr="00960153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21-Mar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Sincrónica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UNIDAD 1</w:t>
            </w:r>
          </w:p>
        </w:tc>
      </w:tr>
      <w:tr w:rsidR="00960153" w:rsidRPr="00960153" w:rsidTr="00960153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28-Mar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Asincrónica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UNIDAD 2 - Actividad de cierre U1</w:t>
            </w:r>
          </w:p>
        </w:tc>
      </w:tr>
      <w:tr w:rsidR="00960153" w:rsidRPr="00960153" w:rsidTr="00960153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4-Apr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Sincrónica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UNIDAD 2</w:t>
            </w:r>
          </w:p>
        </w:tc>
      </w:tr>
      <w:tr w:rsidR="00960153" w:rsidRPr="00960153" w:rsidTr="00960153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11-Apr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Asincrónica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UNIDAD 2</w:t>
            </w:r>
          </w:p>
        </w:tc>
      </w:tr>
      <w:tr w:rsidR="00960153" w:rsidRPr="00960153" w:rsidTr="0096015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960153" w:rsidRPr="00960153" w:rsidRDefault="00960153" w:rsidP="00960153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18-Apr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FERIADO</w:t>
            </w:r>
          </w:p>
        </w:tc>
      </w:tr>
      <w:tr w:rsidR="00960153" w:rsidRPr="00960153" w:rsidTr="00960153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25-Apr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Asincrónica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UNIDAD 2 - Actividad de cierre U2</w:t>
            </w:r>
          </w:p>
        </w:tc>
      </w:tr>
      <w:tr w:rsidR="00960153" w:rsidRPr="00960153" w:rsidTr="0096015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960153" w:rsidRPr="00960153" w:rsidRDefault="00960153" w:rsidP="00960153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2-May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ASUETO</w:t>
            </w:r>
          </w:p>
        </w:tc>
      </w:tr>
      <w:tr w:rsidR="00960153" w:rsidRPr="00960153" w:rsidTr="00960153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9-May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Asincrónica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UNIDAD 3 - Entrega de la consigna de parcial</w:t>
            </w:r>
          </w:p>
        </w:tc>
      </w:tr>
      <w:tr w:rsidR="00960153" w:rsidRPr="00960153" w:rsidTr="00960153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16-May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Sincrónica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UNIDAD 3</w:t>
            </w:r>
          </w:p>
        </w:tc>
      </w:tr>
      <w:tr w:rsidR="00960153" w:rsidRPr="00960153" w:rsidTr="00960153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23-May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Asincrónica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UNIDAD 3 - Entrega PARCIAL</w:t>
            </w:r>
          </w:p>
        </w:tc>
      </w:tr>
      <w:tr w:rsidR="00960153" w:rsidRPr="00960153" w:rsidTr="00960153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30-May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Asincrónica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UNIDAD 4</w:t>
            </w:r>
            <w:r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 xml:space="preserve"> </w:t>
            </w:r>
          </w:p>
        </w:tc>
      </w:tr>
      <w:tr w:rsidR="00960153" w:rsidRPr="00960153" w:rsidTr="00960153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6-Jun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Sincrónica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UNIDAD 4 - Entrega de la consigna de recuperatorio</w:t>
            </w:r>
          </w:p>
        </w:tc>
      </w:tr>
      <w:tr w:rsidR="00960153" w:rsidRPr="00960153" w:rsidTr="0096015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13-Jun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Sincrónica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UNIDAD 4 - RECU</w:t>
            </w:r>
          </w:p>
        </w:tc>
      </w:tr>
      <w:tr w:rsidR="00960153" w:rsidRPr="00960153" w:rsidTr="0096015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960153" w:rsidRPr="00960153" w:rsidRDefault="00960153" w:rsidP="00960153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20-Jun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FERIADO</w:t>
            </w:r>
          </w:p>
        </w:tc>
      </w:tr>
      <w:tr w:rsidR="00960153" w:rsidRPr="00960153" w:rsidTr="00960153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27-Jun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b/>
                <w:bCs/>
                <w:color w:val="403151"/>
                <w:sz w:val="22"/>
                <w:szCs w:val="22"/>
                <w:lang w:val="es-AR"/>
              </w:rPr>
              <w:t>Sincrónica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153" w:rsidRPr="00960153" w:rsidRDefault="00960153" w:rsidP="00960153">
            <w:pPr>
              <w:jc w:val="center"/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</w:pPr>
            <w:r w:rsidRPr="00960153">
              <w:rPr>
                <w:rFonts w:ascii="Calibri" w:hAnsi="Calibri" w:cs="Calibri"/>
                <w:color w:val="403151"/>
                <w:sz w:val="22"/>
                <w:szCs w:val="22"/>
                <w:lang w:val="es-AR"/>
              </w:rPr>
              <w:t>Devolución final - Modalidad Final</w:t>
            </w:r>
          </w:p>
        </w:tc>
      </w:tr>
    </w:tbl>
    <w:p w:rsidR="00860901" w:rsidRDefault="00860901">
      <w:pPr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es-ES"/>
        </w:rPr>
      </w:pPr>
    </w:p>
    <w:p w:rsidR="00860901" w:rsidRPr="000B0D45" w:rsidRDefault="00860901">
      <w:pPr>
        <w:spacing w:line="360" w:lineRule="auto"/>
        <w:jc w:val="both"/>
        <w:rPr>
          <w:sz w:val="24"/>
          <w:szCs w:val="24"/>
        </w:rPr>
      </w:pPr>
    </w:p>
    <w:p w:rsidR="00860901" w:rsidRDefault="00860901">
      <w:pPr>
        <w:numPr>
          <w:ilvl w:val="0"/>
          <w:numId w:val="29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DETALLES DE ACTIVIDADES DE FORMACIÓN PRÁCTICA</w:t>
      </w:r>
    </w:p>
    <w:p w:rsidR="00860901" w:rsidRDefault="00860901">
      <w:pPr>
        <w:spacing w:line="360" w:lineRule="auto"/>
        <w:jc w:val="both"/>
        <w:rPr>
          <w:b/>
          <w:sz w:val="24"/>
          <w:szCs w:val="24"/>
        </w:rPr>
      </w:pPr>
    </w:p>
    <w:p w:rsidR="00860901" w:rsidRDefault="00860901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val="es-ES" w:eastAsia="es-ES"/>
        </w:rPr>
      </w:pPr>
      <w:r>
        <w:rPr>
          <w:b/>
          <w:sz w:val="24"/>
          <w:szCs w:val="24"/>
        </w:rPr>
        <w:t>MODALIDAD DE EVALUACIÓN PARCIAL:</w:t>
      </w:r>
    </w:p>
    <w:p w:rsidR="00860901" w:rsidRDefault="00960153">
      <w:pPr>
        <w:adjustRightInd w:val="0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La materia supone una instancia de examen parcial, domiciliario/virtual, cuya consigna se habilitará con una anticipación mínima de siete días. AL mismo tiempo, se evaluará a los alumnos a través de una presentación grupal conducente al examen final</w:t>
      </w:r>
      <w:r w:rsidR="00860901">
        <w:rPr>
          <w:sz w:val="24"/>
          <w:szCs w:val="24"/>
        </w:rPr>
        <w:t>.</w:t>
      </w:r>
    </w:p>
    <w:p w:rsidR="00860901" w:rsidRDefault="00860901">
      <w:pPr>
        <w:adjustRightInd w:val="0"/>
        <w:spacing w:line="360" w:lineRule="auto"/>
        <w:ind w:left="360"/>
        <w:jc w:val="both"/>
        <w:rPr>
          <w:b/>
          <w:sz w:val="24"/>
          <w:szCs w:val="24"/>
        </w:rPr>
      </w:pPr>
    </w:p>
    <w:p w:rsidR="00860901" w:rsidRDefault="00860901">
      <w:pPr>
        <w:numPr>
          <w:ilvl w:val="0"/>
          <w:numId w:val="29"/>
        </w:numPr>
        <w:adjustRightInd w:val="0"/>
        <w:spacing w:line="360" w:lineRule="auto"/>
        <w:jc w:val="both"/>
        <w:rPr>
          <w:b/>
          <w:sz w:val="32"/>
          <w:szCs w:val="24"/>
        </w:rPr>
      </w:pPr>
      <w:r>
        <w:rPr>
          <w:b/>
          <w:sz w:val="24"/>
          <w:szCs w:val="24"/>
        </w:rPr>
        <w:t>BIBLIOGRAFÍA COMPLEMENTARIA</w:t>
      </w:r>
    </w:p>
    <w:p w:rsidR="00860901" w:rsidRPr="00105548" w:rsidRDefault="00105548" w:rsidP="00105548">
      <w:pPr>
        <w:spacing w:line="360" w:lineRule="auto"/>
        <w:jc w:val="both"/>
        <w:rPr>
          <w:sz w:val="24"/>
          <w:szCs w:val="24"/>
          <w:u w:val="single"/>
        </w:rPr>
      </w:pPr>
      <w:r w:rsidRPr="00105548">
        <w:rPr>
          <w:sz w:val="24"/>
          <w:szCs w:val="24"/>
          <w:u w:val="single"/>
        </w:rPr>
        <w:t>Unidad 1</w:t>
      </w:r>
    </w:p>
    <w:p w:rsidR="00A9285A" w:rsidRDefault="00A9285A" w:rsidP="001055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HOBSBAWN, Eric (2009) La era de la revolución. 1789-1848. 6ª edición, 1ª reimpresión. Buenos Aires: Crítica.</w:t>
      </w:r>
    </w:p>
    <w:p w:rsidR="00105548" w:rsidRPr="00A215A3" w:rsidRDefault="00105548" w:rsidP="00105548">
      <w:pPr>
        <w:spacing w:line="360" w:lineRule="auto"/>
        <w:jc w:val="both"/>
        <w:rPr>
          <w:sz w:val="24"/>
          <w:szCs w:val="24"/>
        </w:rPr>
      </w:pPr>
      <w:r w:rsidRPr="00A215A3">
        <w:rPr>
          <w:sz w:val="24"/>
          <w:szCs w:val="24"/>
        </w:rPr>
        <w:t>MARQUÉS Josep V. (1982) No es natural. Para una sociología de la vida cotidiana. Cap. 1 Casi todo podría ser de otra manera (p. 13-18) (S/D)</w:t>
      </w:r>
    </w:p>
    <w:p w:rsidR="00105548" w:rsidRPr="00A215A3" w:rsidRDefault="00105548" w:rsidP="00105548">
      <w:pPr>
        <w:spacing w:line="360" w:lineRule="auto"/>
        <w:jc w:val="both"/>
        <w:rPr>
          <w:sz w:val="24"/>
          <w:szCs w:val="24"/>
        </w:rPr>
      </w:pPr>
      <w:hyperlink r:id="rId11" w:tgtFrame="_blank" w:history="1">
        <w:r w:rsidRPr="00A215A3">
          <w:rPr>
            <w:sz w:val="24"/>
            <w:szCs w:val="24"/>
          </w:rPr>
          <w:t>BOURDIEU Pierre (1990) ¿Cómo se puede ser deportista? en Sociología y cultural. México, DF: Grijalbo.</w:t>
        </w:r>
      </w:hyperlink>
    </w:p>
    <w:p w:rsidR="00105548" w:rsidRPr="00A215A3" w:rsidRDefault="00105548" w:rsidP="00105548">
      <w:pPr>
        <w:spacing w:line="360" w:lineRule="auto"/>
        <w:jc w:val="both"/>
        <w:rPr>
          <w:sz w:val="24"/>
          <w:szCs w:val="24"/>
        </w:rPr>
      </w:pPr>
      <w:r w:rsidRPr="00A215A3">
        <w:rPr>
          <w:sz w:val="24"/>
          <w:szCs w:val="24"/>
        </w:rPr>
        <w:t>Material audiovisual y digital seleccionado y/o preparado por la cátedra.</w:t>
      </w:r>
    </w:p>
    <w:p w:rsidR="00105548" w:rsidRDefault="00105548">
      <w:pPr>
        <w:adjustRightInd w:val="0"/>
        <w:spacing w:line="360" w:lineRule="auto"/>
        <w:jc w:val="both"/>
        <w:rPr>
          <w:b/>
          <w:sz w:val="32"/>
          <w:szCs w:val="24"/>
        </w:rPr>
      </w:pPr>
    </w:p>
    <w:p w:rsidR="00105548" w:rsidRPr="00105548" w:rsidRDefault="00105548" w:rsidP="00105548">
      <w:pPr>
        <w:tabs>
          <w:tab w:val="left" w:pos="3851"/>
        </w:tabs>
        <w:spacing w:line="360" w:lineRule="auto"/>
        <w:jc w:val="both"/>
        <w:rPr>
          <w:sz w:val="24"/>
          <w:szCs w:val="24"/>
          <w:u w:val="single"/>
          <w:lang w:val="es-AR"/>
        </w:rPr>
      </w:pPr>
      <w:r w:rsidRPr="00105548">
        <w:rPr>
          <w:sz w:val="24"/>
          <w:szCs w:val="24"/>
          <w:u w:val="single"/>
          <w:lang w:val="es-AR"/>
        </w:rPr>
        <w:t xml:space="preserve">Unidad 2 </w:t>
      </w:r>
    </w:p>
    <w:p w:rsidR="00105548" w:rsidRPr="001E3FB4" w:rsidRDefault="00105548" w:rsidP="00105548">
      <w:pPr>
        <w:spacing w:line="360" w:lineRule="auto"/>
        <w:jc w:val="both"/>
        <w:rPr>
          <w:sz w:val="24"/>
          <w:szCs w:val="24"/>
          <w:lang w:val="es-AR"/>
        </w:rPr>
      </w:pPr>
      <w:r w:rsidRPr="001E3FB4">
        <w:rPr>
          <w:sz w:val="24"/>
          <w:szCs w:val="24"/>
          <w:lang w:val="es-AR"/>
        </w:rPr>
        <w:t xml:space="preserve">BOURDIEU, P. (1999), “Espacio social y poder simbólico”, en Cosas Dichas, Madrid: Gedisa. </w:t>
      </w:r>
    </w:p>
    <w:p w:rsidR="00105548" w:rsidRDefault="00105548" w:rsidP="00105548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BROHM, Jean-Marie. (1976). “La institución deportiva en el modo de producción capitalista industrial” y “Conclusión”. En Sociología política del deporte. México, Fondo de cultura económica.</w:t>
      </w:r>
    </w:p>
    <w:p w:rsidR="005E3E7B" w:rsidRDefault="005E3E7B" w:rsidP="001055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DUNNING, Eric. (2003) “El fenómeno deportivo. Estudios sociológicos en torno al deporte, la</w:t>
      </w:r>
      <w:r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</w:rPr>
        <w:t>violencia y la civilización” Barcelona, Paidotribo.</w:t>
      </w:r>
    </w:p>
    <w:p w:rsidR="006F311E" w:rsidRPr="006F311E" w:rsidRDefault="006F311E" w:rsidP="001055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GARCÍA FERRANDO, Manuel; PUIG, Nuria y LAGARDERA, Francisco (compiladores). (2014). “La naturaleza cambiante y evolutiva del deporte. En </w:t>
      </w:r>
      <w:r>
        <w:rPr>
          <w:i/>
          <w:sz w:val="24"/>
          <w:szCs w:val="24"/>
        </w:rPr>
        <w:t>Sociología del deporte</w:t>
      </w:r>
      <w:r>
        <w:rPr>
          <w:sz w:val="24"/>
          <w:szCs w:val="24"/>
        </w:rPr>
        <w:t>. Madrid, Alianza editorial.</w:t>
      </w:r>
    </w:p>
    <w:p w:rsidR="00105548" w:rsidRPr="00F907F6" w:rsidRDefault="00105548" w:rsidP="00105548">
      <w:pPr>
        <w:spacing w:line="360" w:lineRule="auto"/>
        <w:jc w:val="both"/>
        <w:rPr>
          <w:sz w:val="24"/>
          <w:szCs w:val="24"/>
          <w:lang w:val="en-US"/>
        </w:rPr>
      </w:pPr>
      <w:r w:rsidRPr="00384939">
        <w:rPr>
          <w:sz w:val="24"/>
          <w:szCs w:val="24"/>
          <w:lang w:val="en-US"/>
        </w:rPr>
        <w:t>LOY, Jay</w:t>
      </w:r>
      <w:r w:rsidR="00F907F6">
        <w:rPr>
          <w:sz w:val="24"/>
          <w:szCs w:val="24"/>
          <w:lang w:val="en-US"/>
        </w:rPr>
        <w:t xml:space="preserve"> y BOOTH, Douglas</w:t>
      </w:r>
      <w:r w:rsidRPr="00384939">
        <w:rPr>
          <w:sz w:val="24"/>
          <w:szCs w:val="24"/>
          <w:lang w:val="en-US"/>
        </w:rPr>
        <w:t>. (</w:t>
      </w:r>
      <w:r w:rsidR="00F907F6">
        <w:rPr>
          <w:sz w:val="24"/>
          <w:szCs w:val="24"/>
          <w:lang w:val="en-US"/>
        </w:rPr>
        <w:t>2000</w:t>
      </w:r>
      <w:r w:rsidRPr="00384939">
        <w:rPr>
          <w:sz w:val="24"/>
          <w:szCs w:val="24"/>
          <w:lang w:val="en-US"/>
        </w:rPr>
        <w:t xml:space="preserve">). </w:t>
      </w:r>
      <w:r w:rsidR="00F907F6">
        <w:rPr>
          <w:sz w:val="24"/>
          <w:szCs w:val="24"/>
          <w:lang w:val="en-US"/>
        </w:rPr>
        <w:t xml:space="preserve">Functionalism, sport and society. En Handbook of sport studies. London, Thousand Oaks, New Delhi: SAGE Publications. </w:t>
      </w:r>
    </w:p>
    <w:p w:rsidR="00105548" w:rsidRPr="00F907F6" w:rsidRDefault="00105548" w:rsidP="00105548">
      <w:pPr>
        <w:spacing w:line="360" w:lineRule="auto"/>
        <w:jc w:val="both"/>
        <w:rPr>
          <w:sz w:val="24"/>
          <w:szCs w:val="24"/>
          <w:u w:val="single"/>
          <w:lang w:val="en-US"/>
        </w:rPr>
      </w:pPr>
    </w:p>
    <w:p w:rsidR="00105548" w:rsidRPr="00105548" w:rsidRDefault="00105548" w:rsidP="00105548">
      <w:pPr>
        <w:spacing w:line="360" w:lineRule="auto"/>
        <w:jc w:val="both"/>
        <w:rPr>
          <w:sz w:val="24"/>
          <w:szCs w:val="24"/>
          <w:u w:val="single"/>
        </w:rPr>
      </w:pPr>
      <w:r w:rsidRPr="00105548">
        <w:rPr>
          <w:sz w:val="24"/>
          <w:szCs w:val="24"/>
          <w:u w:val="single"/>
        </w:rPr>
        <w:t>Unidad 3</w:t>
      </w:r>
    </w:p>
    <w:p w:rsidR="00105548" w:rsidRPr="00785A99" w:rsidRDefault="00105548" w:rsidP="001055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ALABARCES, Pablo. (1997) ¿De la heteronomía a la continuidad? Las culturas populares en el espectáculo futbolístico. </w:t>
      </w:r>
      <w:r>
        <w:rPr>
          <w:i/>
          <w:sz w:val="24"/>
          <w:szCs w:val="24"/>
        </w:rPr>
        <w:t>Revista de cultura</w:t>
      </w:r>
      <w:r>
        <w:rPr>
          <w:sz w:val="24"/>
          <w:szCs w:val="24"/>
        </w:rPr>
        <w:t>, Año XX, Número 57, pp. 43 – 48.</w:t>
      </w:r>
    </w:p>
    <w:p w:rsidR="00105548" w:rsidRDefault="00105548" w:rsidP="001055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s-ES"/>
        </w:rPr>
        <w:t>LECHNER, Norbert. (2001) “Desafíos de un desarrollo humano: individualización y capital s</w:t>
      </w:r>
      <w:r>
        <w:rPr>
          <w:sz w:val="24"/>
          <w:szCs w:val="24"/>
          <w:lang w:val="es-ES"/>
        </w:rPr>
        <w:t>o</w:t>
      </w:r>
      <w:r>
        <w:rPr>
          <w:sz w:val="24"/>
          <w:szCs w:val="24"/>
          <w:lang w:val="es-ES"/>
        </w:rPr>
        <w:t>cial”.</w:t>
      </w:r>
    </w:p>
    <w:p w:rsidR="00105548" w:rsidRPr="00105548" w:rsidRDefault="00105548" w:rsidP="00105548">
      <w:pPr>
        <w:spacing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OSZLAK</w:t>
      </w:r>
      <w:r w:rsidRPr="00E1394B">
        <w:rPr>
          <w:sz w:val="24"/>
          <w:szCs w:val="24"/>
          <w:lang w:val="es-ES"/>
        </w:rPr>
        <w:t>, Oscar (2011) “El rol del estado: micro, meso, macro.” Conferencia dictada en el VI Congreso de Administración Pública organizado por la Asociación Argentina de Estudios de Administración Pública y la Asociación de Administradores Gubernamentales, en Resistencia, Chaco</w:t>
      </w:r>
    </w:p>
    <w:p w:rsidR="00D31AD0" w:rsidRDefault="00D31AD0">
      <w:pPr>
        <w:adjustRightInd w:val="0"/>
        <w:spacing w:line="360" w:lineRule="auto"/>
        <w:jc w:val="both"/>
        <w:rPr>
          <w:bCs/>
          <w:sz w:val="24"/>
          <w:szCs w:val="24"/>
          <w:u w:val="single"/>
          <w:lang w:val="es-ES"/>
        </w:rPr>
      </w:pPr>
    </w:p>
    <w:p w:rsidR="00105548" w:rsidRPr="00105548" w:rsidRDefault="00105548">
      <w:pPr>
        <w:adjustRightInd w:val="0"/>
        <w:spacing w:line="360" w:lineRule="auto"/>
        <w:jc w:val="both"/>
        <w:rPr>
          <w:bCs/>
          <w:sz w:val="24"/>
          <w:szCs w:val="24"/>
          <w:u w:val="single"/>
          <w:lang w:val="es-ES"/>
        </w:rPr>
      </w:pPr>
      <w:r w:rsidRPr="00105548">
        <w:rPr>
          <w:bCs/>
          <w:sz w:val="24"/>
          <w:szCs w:val="24"/>
          <w:u w:val="single"/>
          <w:lang w:val="es-ES"/>
        </w:rPr>
        <w:t>Unidad 4</w:t>
      </w:r>
    </w:p>
    <w:p w:rsidR="00105548" w:rsidRPr="00105548" w:rsidRDefault="00105548" w:rsidP="001055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ALABARCES, Pablo. (1998) ¿De qué hablamos cuando hablamos de deporte?. </w:t>
      </w:r>
      <w:r>
        <w:rPr>
          <w:i/>
          <w:sz w:val="24"/>
          <w:szCs w:val="24"/>
        </w:rPr>
        <w:t>Nueva Sociedad</w:t>
      </w:r>
      <w:r>
        <w:rPr>
          <w:sz w:val="24"/>
          <w:szCs w:val="24"/>
        </w:rPr>
        <w:t>, Nro. 154, pp. 74-86.</w:t>
      </w:r>
    </w:p>
    <w:p w:rsidR="00105548" w:rsidRDefault="00105548" w:rsidP="00105548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es-ES" w:eastAsia="es-ES"/>
        </w:rPr>
      </w:pPr>
      <w:r>
        <w:rPr>
          <w:bCs/>
          <w:sz w:val="24"/>
          <w:szCs w:val="24"/>
          <w:lang w:val="es-ES" w:eastAsia="es-ES"/>
        </w:rPr>
        <w:t xml:space="preserve">DONOSO PÉREZ, Belén; ÁLVAREZ-SOTOMAYOR, Alberto y REINA GIMÉNEZ, Amalia (2021) Los significados del deporte de competición para las mujeres deportistas. En </w:t>
      </w:r>
      <w:r>
        <w:rPr>
          <w:bCs/>
          <w:i/>
          <w:sz w:val="24"/>
          <w:szCs w:val="24"/>
          <w:lang w:val="es-ES" w:eastAsia="es-ES"/>
        </w:rPr>
        <w:t>Revista sociología del deporte</w:t>
      </w:r>
      <w:r>
        <w:rPr>
          <w:bCs/>
          <w:sz w:val="24"/>
          <w:szCs w:val="24"/>
          <w:lang w:val="es-ES" w:eastAsia="es-ES"/>
        </w:rPr>
        <w:t>, vol. 2, N°2, pp. 81 – 92.</w:t>
      </w:r>
    </w:p>
    <w:p w:rsidR="00105548" w:rsidRDefault="00105548" w:rsidP="00105548">
      <w:pPr>
        <w:tabs>
          <w:tab w:val="left" w:pos="1418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FUENTES, Sebastián (2021) Cuerpos de elite</w:t>
      </w:r>
    </w:p>
    <w:p w:rsidR="00105548" w:rsidRPr="00D55F1E" w:rsidRDefault="00105548" w:rsidP="00105548">
      <w:pPr>
        <w:tabs>
          <w:tab w:val="left" w:pos="1418"/>
        </w:tabs>
        <w:spacing w:line="360" w:lineRule="auto"/>
        <w:jc w:val="both"/>
        <w:rPr>
          <w:sz w:val="24"/>
          <w:szCs w:val="24"/>
          <w:lang w:val="es-AR"/>
        </w:rPr>
      </w:pPr>
      <w:r w:rsidRPr="00D55F1E">
        <w:rPr>
          <w:sz w:val="24"/>
          <w:szCs w:val="24"/>
        </w:rPr>
        <w:t xml:space="preserve">GARCÍA FERRANDO, Manuel; PUIG, Nuria y LAGARDERA, Francisco (compiladores). (2014). </w:t>
      </w:r>
      <w:r w:rsidRPr="00D55F1E">
        <w:rPr>
          <w:i/>
          <w:sz w:val="24"/>
          <w:szCs w:val="24"/>
        </w:rPr>
        <w:t>Sociología del deporte</w:t>
      </w:r>
      <w:r w:rsidRPr="00D55F1E">
        <w:rPr>
          <w:sz w:val="24"/>
          <w:szCs w:val="24"/>
        </w:rPr>
        <w:t>. Madrid, Alianza editorial.</w:t>
      </w:r>
    </w:p>
    <w:p w:rsidR="00105548" w:rsidRPr="00384939" w:rsidRDefault="00105548" w:rsidP="001055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  <w:lang w:val="es-ES" w:eastAsia="es-ES"/>
        </w:rPr>
        <w:t xml:space="preserve">LESSA, Patricia y DELLAI OSHITA, Tais (2007). La participación de las mujeres en los deportes. </w:t>
      </w:r>
      <w:r>
        <w:rPr>
          <w:bCs/>
          <w:i/>
          <w:sz w:val="24"/>
          <w:szCs w:val="24"/>
          <w:lang w:val="es-ES" w:eastAsia="es-ES"/>
        </w:rPr>
        <w:t>Revista digital</w:t>
      </w:r>
      <w:r>
        <w:rPr>
          <w:bCs/>
          <w:sz w:val="24"/>
          <w:szCs w:val="24"/>
          <w:lang w:val="es-ES" w:eastAsia="es-ES"/>
        </w:rPr>
        <w:t>, Año 11, N°105.</w:t>
      </w:r>
    </w:p>
    <w:p w:rsidR="00105548" w:rsidRPr="00105548" w:rsidRDefault="00105548">
      <w:pPr>
        <w:adjustRightInd w:val="0"/>
        <w:spacing w:line="360" w:lineRule="auto"/>
        <w:jc w:val="both"/>
        <w:rPr>
          <w:b/>
          <w:sz w:val="32"/>
          <w:szCs w:val="24"/>
          <w:lang w:val="es-ES"/>
        </w:rPr>
      </w:pPr>
    </w:p>
    <w:p w:rsidR="00860901" w:rsidRDefault="00860901">
      <w:pPr>
        <w:numPr>
          <w:ilvl w:val="0"/>
          <w:numId w:val="29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 DE DOCENTES:</w:t>
      </w:r>
    </w:p>
    <w:p w:rsidR="00860901" w:rsidRDefault="00860901">
      <w:pPr>
        <w:spacing w:line="360" w:lineRule="auto"/>
        <w:jc w:val="both"/>
        <w:rPr>
          <w:b/>
          <w:sz w:val="24"/>
          <w:szCs w:val="24"/>
        </w:rPr>
      </w:pPr>
    </w:p>
    <w:p w:rsidR="00860901" w:rsidRDefault="00860901">
      <w:pPr>
        <w:spacing w:line="360" w:lineRule="auto"/>
        <w:jc w:val="both"/>
        <w:rPr>
          <w:b/>
          <w:sz w:val="24"/>
          <w:szCs w:val="24"/>
        </w:rPr>
      </w:pPr>
    </w:p>
    <w:p w:rsidR="00860901" w:rsidRDefault="00860901">
      <w:pPr>
        <w:spacing w:line="360" w:lineRule="auto"/>
        <w:jc w:val="both"/>
        <w:rPr>
          <w:b/>
          <w:sz w:val="24"/>
          <w:szCs w:val="24"/>
        </w:rPr>
      </w:pPr>
    </w:p>
    <w:p w:rsidR="00860901" w:rsidRDefault="00860901">
      <w:pPr>
        <w:spacing w:line="360" w:lineRule="auto"/>
        <w:jc w:val="both"/>
        <w:rPr>
          <w:b/>
          <w:sz w:val="24"/>
          <w:szCs w:val="24"/>
        </w:rPr>
      </w:pPr>
    </w:p>
    <w:p w:rsidR="00860901" w:rsidRDefault="00860901">
      <w:pPr>
        <w:numPr>
          <w:ilvl w:val="0"/>
          <w:numId w:val="29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 DEL DIRECTOR DE LA CARRERA</w:t>
      </w:r>
    </w:p>
    <w:p w:rsidR="00860901" w:rsidRDefault="00860901">
      <w:pPr>
        <w:spacing w:line="360" w:lineRule="auto"/>
        <w:jc w:val="both"/>
        <w:rPr>
          <w:b/>
          <w:sz w:val="24"/>
          <w:szCs w:val="24"/>
        </w:rPr>
      </w:pPr>
    </w:p>
    <w:p w:rsidR="00860901" w:rsidRDefault="00860901">
      <w:pPr>
        <w:spacing w:line="360" w:lineRule="auto"/>
        <w:jc w:val="both"/>
        <w:rPr>
          <w:sz w:val="24"/>
          <w:szCs w:val="24"/>
          <w:lang w:val="es-MX"/>
        </w:rPr>
      </w:pPr>
    </w:p>
    <w:p w:rsidR="00860901" w:rsidRDefault="00860901">
      <w:pPr>
        <w:spacing w:line="360" w:lineRule="auto"/>
        <w:jc w:val="both"/>
        <w:rPr>
          <w:sz w:val="24"/>
          <w:szCs w:val="24"/>
          <w:lang w:val="es-MX"/>
        </w:rPr>
      </w:pPr>
    </w:p>
    <w:p w:rsidR="00860901" w:rsidRDefault="00860901">
      <w:pPr>
        <w:spacing w:line="360" w:lineRule="auto"/>
        <w:jc w:val="both"/>
        <w:rPr>
          <w:sz w:val="24"/>
          <w:szCs w:val="24"/>
          <w:lang w:val="es-MX"/>
        </w:rPr>
      </w:pPr>
    </w:p>
    <w:p w:rsidR="0005301A" w:rsidRDefault="0005301A">
      <w:pPr>
        <w:spacing w:line="360" w:lineRule="auto"/>
        <w:jc w:val="both"/>
        <w:rPr>
          <w:b/>
          <w:sz w:val="24"/>
          <w:szCs w:val="24"/>
        </w:rPr>
      </w:pPr>
    </w:p>
    <w:sectPr w:rsidR="0005301A">
      <w:headerReference w:type="default" r:id="rId12"/>
      <w:footerReference w:type="default" r:id="rId13"/>
      <w:pgSz w:w="11907" w:h="16840" w:code="9"/>
      <w:pgMar w:top="1135" w:right="1134" w:bottom="1276" w:left="1418" w:header="720" w:footer="720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901" w:rsidRDefault="00860901">
      <w:r>
        <w:separator/>
      </w:r>
    </w:p>
  </w:endnote>
  <w:endnote w:type="continuationSeparator" w:id="0">
    <w:p w:rsidR="00860901" w:rsidRDefault="0086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01" w:rsidRDefault="00860901">
    <w:pPr>
      <w:pStyle w:val="Piedepgina"/>
      <w:jc w:val="right"/>
      <w:rPr>
        <w:rFonts w:ascii="Arial Unicode MS" w:eastAsia="Arial Unicode MS" w:hAnsi="Arial Unicode MS" w:cs="Arial Unicode MS"/>
        <w:i/>
        <w:sz w:val="18"/>
        <w:szCs w:val="18"/>
      </w:rPr>
    </w:pP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3655BB">
      <w:rPr>
        <w:rStyle w:val="Nmerodepgina"/>
        <w:noProof/>
        <w:sz w:val="18"/>
        <w:szCs w:val="18"/>
      </w:rPr>
      <w:t>- 1 -</w:t>
    </w:r>
    <w:r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901" w:rsidRDefault="00860901">
      <w:r>
        <w:separator/>
      </w:r>
    </w:p>
  </w:footnote>
  <w:footnote w:type="continuationSeparator" w:id="0">
    <w:p w:rsidR="00860901" w:rsidRDefault="00860901">
      <w:r>
        <w:continuationSeparator/>
      </w:r>
    </w:p>
  </w:footnote>
  <w:footnote w:id="1">
    <w:p w:rsidR="00860901" w:rsidRDefault="00860901">
      <w:pPr>
        <w:jc w:val="both"/>
        <w:rPr>
          <w:sz w:val="22"/>
          <w:szCs w:val="22"/>
        </w:rPr>
      </w:pPr>
      <w:r>
        <w:rPr>
          <w:rStyle w:val="Refdenotaalpie"/>
          <w:sz w:val="18"/>
        </w:rPr>
        <w:footnoteRef/>
      </w:r>
      <w:r>
        <w:rPr>
          <w:sz w:val="18"/>
        </w:rPr>
        <w:t xml:space="preserve"> </w:t>
      </w:r>
      <w:r>
        <w:rPr>
          <w:szCs w:val="22"/>
        </w:rPr>
        <w:t>A cargo -Tutor - Orientador del trabajo online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01" w:rsidRDefault="00860901">
    <w:pPr>
      <w:pStyle w:val="Encabezado"/>
    </w:pPr>
  </w:p>
  <w:p w:rsidR="00860901" w:rsidRDefault="008609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523C"/>
    <w:multiLevelType w:val="hybridMultilevel"/>
    <w:tmpl w:val="2CDED0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30E1"/>
    <w:multiLevelType w:val="hybridMultilevel"/>
    <w:tmpl w:val="866A1610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91D20"/>
    <w:multiLevelType w:val="hybridMultilevel"/>
    <w:tmpl w:val="C2E0C140"/>
    <w:lvl w:ilvl="0" w:tplc="2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32036"/>
    <w:multiLevelType w:val="hybridMultilevel"/>
    <w:tmpl w:val="A1C8F8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B6CDC"/>
    <w:multiLevelType w:val="hybridMultilevel"/>
    <w:tmpl w:val="599291DC"/>
    <w:lvl w:ilvl="0" w:tplc="2DB6F3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E40A7"/>
    <w:multiLevelType w:val="hybridMultilevel"/>
    <w:tmpl w:val="0BEE0674"/>
    <w:lvl w:ilvl="0" w:tplc="FB9082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307AB"/>
    <w:multiLevelType w:val="hybridMultilevel"/>
    <w:tmpl w:val="946C9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07CC7"/>
    <w:multiLevelType w:val="hybridMultilevel"/>
    <w:tmpl w:val="2FCAC6E2"/>
    <w:lvl w:ilvl="0" w:tplc="0C0A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74645"/>
    <w:multiLevelType w:val="hybridMultilevel"/>
    <w:tmpl w:val="7E3AFE6A"/>
    <w:lvl w:ilvl="0" w:tplc="265CE34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0265E"/>
    <w:multiLevelType w:val="hybridMultilevel"/>
    <w:tmpl w:val="7B3C1E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36DC4"/>
    <w:multiLevelType w:val="multilevel"/>
    <w:tmpl w:val="2FCAC6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216AE"/>
    <w:multiLevelType w:val="hybridMultilevel"/>
    <w:tmpl w:val="F402749A"/>
    <w:lvl w:ilvl="0" w:tplc="2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076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41F33809"/>
    <w:multiLevelType w:val="hybridMultilevel"/>
    <w:tmpl w:val="4822BF6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6A3A28"/>
    <w:multiLevelType w:val="hybridMultilevel"/>
    <w:tmpl w:val="CBFE4E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54D8E"/>
    <w:multiLevelType w:val="hybridMultilevel"/>
    <w:tmpl w:val="ED14DA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95C74"/>
    <w:multiLevelType w:val="hybridMultilevel"/>
    <w:tmpl w:val="2D5ED2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90F46"/>
    <w:multiLevelType w:val="hybridMultilevel"/>
    <w:tmpl w:val="66F683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46C35"/>
    <w:multiLevelType w:val="multilevel"/>
    <w:tmpl w:val="2FCAC6E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BF91D29"/>
    <w:multiLevelType w:val="hybridMultilevel"/>
    <w:tmpl w:val="3F74B5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C5799"/>
    <w:multiLevelType w:val="hybridMultilevel"/>
    <w:tmpl w:val="9E9437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363A"/>
    <w:multiLevelType w:val="hybridMultilevel"/>
    <w:tmpl w:val="5322BEE6"/>
    <w:lvl w:ilvl="0" w:tplc="64021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02174"/>
    <w:multiLevelType w:val="hybridMultilevel"/>
    <w:tmpl w:val="1BA27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B0BAD"/>
    <w:multiLevelType w:val="hybridMultilevel"/>
    <w:tmpl w:val="5EE299E4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56C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0226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973FF8"/>
    <w:multiLevelType w:val="hybridMultilevel"/>
    <w:tmpl w:val="E7EC03E8"/>
    <w:lvl w:ilvl="0" w:tplc="0C0A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CC38DF"/>
    <w:multiLevelType w:val="multilevel"/>
    <w:tmpl w:val="EA683F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77931738"/>
    <w:multiLevelType w:val="multilevel"/>
    <w:tmpl w:val="2FCAC6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4B37DB"/>
    <w:multiLevelType w:val="hybridMultilevel"/>
    <w:tmpl w:val="6ED2E150"/>
    <w:lvl w:ilvl="0" w:tplc="AF50456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0216E"/>
    <w:multiLevelType w:val="hybridMultilevel"/>
    <w:tmpl w:val="1A4EA44E"/>
    <w:lvl w:ilvl="0" w:tplc="B498A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2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DF14ED"/>
    <w:multiLevelType w:val="hybridMultilevel"/>
    <w:tmpl w:val="D0E69B1E"/>
    <w:lvl w:ilvl="0" w:tplc="FB9082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22"/>
  </w:num>
  <w:num w:numId="5">
    <w:abstractNumId w:val="28"/>
  </w:num>
  <w:num w:numId="6">
    <w:abstractNumId w:val="23"/>
  </w:num>
  <w:num w:numId="7">
    <w:abstractNumId w:val="20"/>
  </w:num>
  <w:num w:numId="8">
    <w:abstractNumId w:val="6"/>
  </w:num>
  <w:num w:numId="9">
    <w:abstractNumId w:val="27"/>
  </w:num>
  <w:num w:numId="10">
    <w:abstractNumId w:val="2"/>
  </w:num>
  <w:num w:numId="11">
    <w:abstractNumId w:val="11"/>
  </w:num>
  <w:num w:numId="12">
    <w:abstractNumId w:val="12"/>
  </w:num>
  <w:num w:numId="13">
    <w:abstractNumId w:val="8"/>
  </w:num>
  <w:num w:numId="14">
    <w:abstractNumId w:val="1"/>
  </w:num>
  <w:num w:numId="15">
    <w:abstractNumId w:val="24"/>
  </w:num>
  <w:num w:numId="16">
    <w:abstractNumId w:val="29"/>
  </w:num>
  <w:num w:numId="17">
    <w:abstractNumId w:val="19"/>
  </w:num>
  <w:num w:numId="18">
    <w:abstractNumId w:val="17"/>
  </w:num>
  <w:num w:numId="19">
    <w:abstractNumId w:val="9"/>
  </w:num>
  <w:num w:numId="20">
    <w:abstractNumId w:val="16"/>
  </w:num>
  <w:num w:numId="21">
    <w:abstractNumId w:val="13"/>
  </w:num>
  <w:num w:numId="22">
    <w:abstractNumId w:val="3"/>
  </w:num>
  <w:num w:numId="23">
    <w:abstractNumId w:val="7"/>
  </w:num>
  <w:num w:numId="24">
    <w:abstractNumId w:val="10"/>
  </w:num>
  <w:num w:numId="25">
    <w:abstractNumId w:val="18"/>
  </w:num>
  <w:num w:numId="26">
    <w:abstractNumId w:val="26"/>
  </w:num>
  <w:num w:numId="27">
    <w:abstractNumId w:val="5"/>
  </w:num>
  <w:num w:numId="28">
    <w:abstractNumId w:val="25"/>
  </w:num>
  <w:num w:numId="29">
    <w:abstractNumId w:val="4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3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CF"/>
    <w:rsid w:val="00044AE7"/>
    <w:rsid w:val="0005301A"/>
    <w:rsid w:val="000B0D45"/>
    <w:rsid w:val="00105548"/>
    <w:rsid w:val="001C0293"/>
    <w:rsid w:val="001E3FB4"/>
    <w:rsid w:val="00217D45"/>
    <w:rsid w:val="00265E0E"/>
    <w:rsid w:val="00364CA2"/>
    <w:rsid w:val="003655BB"/>
    <w:rsid w:val="00384939"/>
    <w:rsid w:val="003A03B0"/>
    <w:rsid w:val="0041172E"/>
    <w:rsid w:val="00456AA1"/>
    <w:rsid w:val="004575A2"/>
    <w:rsid w:val="00491DD8"/>
    <w:rsid w:val="004C07E4"/>
    <w:rsid w:val="005923A7"/>
    <w:rsid w:val="005E3E7B"/>
    <w:rsid w:val="005F025F"/>
    <w:rsid w:val="006159B7"/>
    <w:rsid w:val="00654C5E"/>
    <w:rsid w:val="006B660A"/>
    <w:rsid w:val="006F311E"/>
    <w:rsid w:val="00785A99"/>
    <w:rsid w:val="00807F38"/>
    <w:rsid w:val="00860901"/>
    <w:rsid w:val="008E7848"/>
    <w:rsid w:val="0095508E"/>
    <w:rsid w:val="00960153"/>
    <w:rsid w:val="00A215A3"/>
    <w:rsid w:val="00A3363E"/>
    <w:rsid w:val="00A61819"/>
    <w:rsid w:val="00A9285A"/>
    <w:rsid w:val="00AD0E6A"/>
    <w:rsid w:val="00B265CC"/>
    <w:rsid w:val="00B43CA9"/>
    <w:rsid w:val="00B909EC"/>
    <w:rsid w:val="00BA22D9"/>
    <w:rsid w:val="00BE58D0"/>
    <w:rsid w:val="00C149C2"/>
    <w:rsid w:val="00CB5FCF"/>
    <w:rsid w:val="00D000AF"/>
    <w:rsid w:val="00D06641"/>
    <w:rsid w:val="00D10776"/>
    <w:rsid w:val="00D31AD0"/>
    <w:rsid w:val="00D55F1E"/>
    <w:rsid w:val="00D93B38"/>
    <w:rsid w:val="00E1394B"/>
    <w:rsid w:val="00EB2E8B"/>
    <w:rsid w:val="00F50887"/>
    <w:rsid w:val="00F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75347B5"/>
  <w15:chartTrackingRefBased/>
  <w15:docId w15:val="{EDE0DE22-7354-49DD-B13A-C280FE2E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AE7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709"/>
        <w:tab w:val="left" w:pos="993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ind w:left="1418" w:hanging="1418"/>
      <w:outlineLvl w:val="2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widowControl w:val="0"/>
      <w:tabs>
        <w:tab w:val="left" w:pos="284"/>
      </w:tabs>
      <w:ind w:left="284" w:hanging="284"/>
      <w:jc w:val="both"/>
    </w:pPr>
    <w:rPr>
      <w:sz w:val="22"/>
    </w:rPr>
  </w:style>
  <w:style w:type="paragraph" w:styleId="Sangra3detindependiente">
    <w:name w:val="Body Text Indent 3"/>
    <w:basedOn w:val="Normal"/>
    <w:pPr>
      <w:widowControl w:val="0"/>
      <w:ind w:left="709"/>
      <w:jc w:val="both"/>
    </w:pPr>
    <w:rPr>
      <w:sz w:val="22"/>
    </w:rPr>
  </w:style>
  <w:style w:type="character" w:styleId="Textoennegrita">
    <w:name w:val="Strong"/>
    <w:rPr>
      <w:b/>
    </w:rPr>
  </w:style>
  <w:style w:type="paragraph" w:styleId="Textoindependiente2">
    <w:name w:val="Body Text 2"/>
    <w:basedOn w:val="Normal"/>
    <w:pPr>
      <w:ind w:left="1080"/>
      <w:jc w:val="both"/>
    </w:pPr>
    <w:rPr>
      <w:rFonts w:ascii="Arial" w:hAnsi="Arial"/>
    </w:rPr>
  </w:style>
  <w:style w:type="paragraph" w:styleId="NormalWeb">
    <w:name w:val="Normal (Web)"/>
    <w:basedOn w:val="Normal"/>
    <w:pPr>
      <w:spacing w:before="100" w:after="100"/>
    </w:pPr>
    <w:rPr>
      <w:color w:val="000080"/>
      <w:sz w:val="24"/>
      <w:lang w:val="es-ES" w:eastAsia="es-ES"/>
    </w:rPr>
  </w:style>
  <w:style w:type="character" w:styleId="Nmerodepgina">
    <w:name w:val="page number"/>
    <w:basedOn w:val="Fuentedeprrafopredeter"/>
  </w:style>
  <w:style w:type="character" w:styleId="Textoennegrita0">
    <w:name w:val="Strong"/>
    <w:qFormat/>
    <w:rPr>
      <w:rFonts w:ascii="Arial" w:hAnsi="Arial" w:cs="Arial" w:hint="default"/>
      <w:b/>
      <w:bCs/>
      <w:sz w:val="15"/>
      <w:szCs w:val="15"/>
    </w:rPr>
  </w:style>
  <w:style w:type="character" w:customStyle="1" w:styleId="apple-converted-space">
    <w:name w:val="apple-converted-space"/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normal0">
    <w:name w:val="normal"/>
    <w:rPr>
      <w:color w:val="000000"/>
      <w:sz w:val="24"/>
      <w:lang w:val="es-ES" w:eastAsia="es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Pr>
      <w:color w:val="954F72"/>
      <w:u w:val="single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rPr>
      <w:lang w:val="es-ES_tradnl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Prrafodelista">
    <w:name w:val="List Paragraph"/>
    <w:basedOn w:val="Normal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6j7--FyY_BPk7S1-BTqkmsGBrxn0R1QO/view?usp=share_li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fdeportes.com/efd176/clubes-de-futbol-su-dimension-social-river-plate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ds-apad@usal.edu.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7CDF-6558-4F7B-BD33-ADFBD7CF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1854</Words>
  <Characters>10203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Análisis de Opinión Pública 2006</vt:lpstr>
    </vt:vector>
  </TitlesOfParts>
  <Company>Universidad del Salvador</Company>
  <LinksUpToDate>false</LinksUpToDate>
  <CharactersWithSpaces>12033</CharactersWithSpaces>
  <SharedDoc>false</SharedDoc>
  <HLinks>
    <vt:vector size="18" baseType="variant">
      <vt:variant>
        <vt:i4>6881314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https://drive.google.com/file/d/16j7--FyY_BPk7S1-BTqkmsGBrxn0R1QO/view?usp=share_link</vt:lpwstr>
      </vt:variant>
      <vt:variant>
        <vt:lpwstr/>
      </vt:variant>
      <vt:variant>
        <vt:i4>196608</vt:i4>
      </vt:variant>
      <vt:variant>
        <vt:i4>3</vt:i4>
      </vt:variant>
      <vt:variant>
        <vt:i4>0</vt:i4>
      </vt:variant>
      <vt:variant>
        <vt:i4>5</vt:i4>
      </vt:variant>
      <vt:variant>
        <vt:lpwstr>http://www.efdeportes.com/efd176/clubes-de-futbol-su-dimension-social-river-plate.htm</vt:lpwstr>
      </vt:variant>
      <vt:variant>
        <vt:lpwstr/>
      </vt:variant>
      <vt:variant>
        <vt:i4>4849767</vt:i4>
      </vt:variant>
      <vt:variant>
        <vt:i4>0</vt:i4>
      </vt:variant>
      <vt:variant>
        <vt:i4>0</vt:i4>
      </vt:variant>
      <vt:variant>
        <vt:i4>5</vt:i4>
      </vt:variant>
      <vt:variant>
        <vt:lpwstr>mailto:uds-apad@usal.edu.ar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Análisis de Opinión Pública 2006</dc:title>
  <dc:subject/>
  <dc:creator>NatalioStecconi</dc:creator>
  <cp:keywords/>
  <cp:lastModifiedBy>Lucio Aya Tenorio - Cs. Sociales</cp:lastModifiedBy>
  <cp:revision>2</cp:revision>
  <cp:lastPrinted>2014-09-09T17:53:00Z</cp:lastPrinted>
  <dcterms:created xsi:type="dcterms:W3CDTF">2026-04-01T22:39:00Z</dcterms:created>
  <dcterms:modified xsi:type="dcterms:W3CDTF">2026-04-01T22:39:00Z</dcterms:modified>
</cp:coreProperties>
</file>