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501" w:rsidRDefault="00F7583C">
      <w:pPr>
        <w:spacing w:after="0" w:line="259" w:lineRule="auto"/>
        <w:ind w:left="15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:rsidR="00A13501" w:rsidRDefault="00F7583C" w:rsidP="00F7583C">
      <w:pPr>
        <w:spacing w:after="0" w:line="259" w:lineRule="auto"/>
        <w:ind w:left="1810" w:right="0" w:firstLine="0"/>
        <w:jc w:val="left"/>
      </w:pPr>
      <w:r>
        <w:rPr>
          <w:noProof/>
        </w:rPr>
        <w:drawing>
          <wp:inline distT="0" distB="0" distL="0" distR="0">
            <wp:extent cx="561975" cy="712749"/>
            <wp:effectExtent l="0" t="0" r="0" b="0"/>
            <wp:docPr id="399" name="Picture 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" name="Picture 39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712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 w:rsidR="00A13501" w:rsidRDefault="00F7583C" w:rsidP="00F7583C">
      <w:pPr>
        <w:tabs>
          <w:tab w:val="center" w:pos="2248"/>
          <w:tab w:val="center" w:pos="7328"/>
        </w:tabs>
        <w:spacing w:after="0" w:line="261" w:lineRule="auto"/>
        <w:ind w:left="0" w:right="0" w:firstLine="0"/>
        <w:jc w:val="left"/>
      </w:pPr>
      <w:r>
        <w:rPr>
          <w:b/>
        </w:rPr>
        <w:t xml:space="preserve">        </w:t>
      </w:r>
      <w:r>
        <w:rPr>
          <w:b/>
        </w:rPr>
        <w:t>UNIVERSIDAD DEL SALVADOR</w:t>
      </w:r>
    </w:p>
    <w:p w:rsidR="00F7583C" w:rsidRDefault="00F7583C" w:rsidP="00F7583C">
      <w:pPr>
        <w:spacing w:after="0" w:line="259" w:lineRule="auto"/>
        <w:ind w:left="270" w:right="0" w:firstLine="0"/>
        <w:jc w:val="left"/>
        <w:rPr>
          <w:b/>
          <w:i/>
        </w:rPr>
      </w:pPr>
      <w:r>
        <w:rPr>
          <w:b/>
          <w:i/>
        </w:rPr>
        <w:t>Facultad de Ciencias Sociales, Educación</w:t>
      </w:r>
      <w:r w:rsidRPr="00F7583C">
        <w:rPr>
          <w:b/>
          <w:i/>
        </w:rPr>
        <w:t xml:space="preserve"> </w:t>
      </w:r>
      <w:r>
        <w:rPr>
          <w:b/>
          <w:i/>
        </w:rPr>
        <w:t xml:space="preserve">                                            </w:t>
      </w:r>
      <w:r w:rsidRPr="00F7583C">
        <w:rPr>
          <w:b/>
          <w:i/>
        </w:rPr>
        <w:t>Licenciatura en Periodismo</w:t>
      </w:r>
      <w:r>
        <w:t xml:space="preserve">  </w:t>
      </w:r>
    </w:p>
    <w:p w:rsidR="00A13501" w:rsidRDefault="00F7583C" w:rsidP="00F7583C">
      <w:pPr>
        <w:spacing w:after="0" w:line="259" w:lineRule="auto"/>
        <w:ind w:left="270" w:right="0" w:firstLine="0"/>
        <w:jc w:val="left"/>
      </w:pPr>
      <w:r>
        <w:rPr>
          <w:b/>
          <w:i/>
        </w:rPr>
        <w:t xml:space="preserve">                   </w:t>
      </w:r>
      <w:proofErr w:type="gramStart"/>
      <w:r>
        <w:rPr>
          <w:b/>
          <w:i/>
        </w:rPr>
        <w:t xml:space="preserve">y  </w:t>
      </w:r>
      <w:r>
        <w:rPr>
          <w:b/>
          <w:i/>
        </w:rPr>
        <w:t>Comunicación</w:t>
      </w:r>
      <w:proofErr w:type="gramEnd"/>
    </w:p>
    <w:p w:rsidR="00A13501" w:rsidRDefault="00F7583C">
      <w:pPr>
        <w:tabs>
          <w:tab w:val="center" w:pos="936"/>
          <w:tab w:val="center" w:pos="2141"/>
          <w:tab w:val="center" w:pos="2846"/>
          <w:tab w:val="center" w:pos="3557"/>
          <w:tab w:val="center" w:pos="4267"/>
          <w:tab w:val="center" w:pos="4972"/>
          <w:tab w:val="center" w:pos="6892"/>
        </w:tabs>
        <w:spacing w:after="153" w:line="259" w:lineRule="auto"/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ab/>
        <w:t xml:space="preserve"> </w:t>
      </w:r>
      <w:r>
        <w:tab/>
        <w:t xml:space="preserve"> </w:t>
      </w:r>
      <w:r>
        <w:tab/>
        <w:t xml:space="preserve"> </w:t>
      </w:r>
      <w:bookmarkStart w:id="0" w:name="_GoBack"/>
      <w:bookmarkEnd w:id="0"/>
      <w:r>
        <w:tab/>
        <w:t xml:space="preserve"> </w:t>
      </w:r>
      <w:r>
        <w:tab/>
        <w:t xml:space="preserve"> </w:t>
      </w:r>
      <w:r>
        <w:tab/>
      </w:r>
      <w:r>
        <w:t xml:space="preserve"> </w:t>
      </w: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  <w:r>
        <w:t xml:space="preserve"> </w:t>
      </w:r>
      <w:r>
        <w:tab/>
      </w:r>
      <w:r>
        <w:t xml:space="preserve"> </w: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</w:p>
    <w:p w:rsidR="00F7583C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</w:p>
    <w:p w:rsidR="00A13501" w:rsidRDefault="00F7583C">
      <w:pPr>
        <w:tabs>
          <w:tab w:val="center" w:pos="2251"/>
          <w:tab w:val="center" w:pos="2846"/>
          <w:tab w:val="center" w:pos="3557"/>
          <w:tab w:val="center" w:pos="4267"/>
          <w:tab w:val="center" w:pos="4972"/>
          <w:tab w:val="center" w:pos="5683"/>
          <w:tab w:val="center" w:pos="6718"/>
        </w:tabs>
        <w:ind w:left="0" w:right="0" w:firstLine="0"/>
        <w:jc w:val="left"/>
      </w:pP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0" w:right="160" w:firstLine="0"/>
        <w:jc w:val="center"/>
      </w:pPr>
      <w:r>
        <w:rPr>
          <w:b/>
        </w:rPr>
        <w:t>PROGRAMA 2026</w:t>
      </w: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 </w:t>
      </w:r>
      <w:r>
        <w:t xml:space="preserve"> </w:t>
      </w:r>
    </w:p>
    <w:tbl>
      <w:tblPr>
        <w:tblStyle w:val="TableGrid"/>
        <w:tblW w:w="9794" w:type="dxa"/>
        <w:tblInd w:w="15" w:type="dxa"/>
        <w:tblCellMar>
          <w:top w:w="70" w:type="dxa"/>
          <w:left w:w="64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1359"/>
        <w:gridCol w:w="565"/>
        <w:gridCol w:w="110"/>
        <w:gridCol w:w="1095"/>
        <w:gridCol w:w="318"/>
        <w:gridCol w:w="1094"/>
        <w:gridCol w:w="1532"/>
        <w:gridCol w:w="2070"/>
        <w:gridCol w:w="1651"/>
      </w:tblGrid>
      <w:tr w:rsidR="00A13501">
        <w:trPr>
          <w:trHeight w:val="490"/>
        </w:trPr>
        <w:tc>
          <w:tcPr>
            <w:tcW w:w="3130" w:type="dxa"/>
            <w:gridSpan w:val="4"/>
            <w:tcBorders>
              <w:top w:val="single" w:sz="10" w:space="0" w:color="93C47D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 xml:space="preserve">ACTIVIDAD CURRICULAR: </w:t>
            </w:r>
            <w:r>
              <w:t xml:space="preserve"> </w:t>
            </w:r>
          </w:p>
        </w:tc>
        <w:tc>
          <w:tcPr>
            <w:tcW w:w="66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  <w:sz w:val="20"/>
              </w:rPr>
              <w:t xml:space="preserve">ANÁLISIS DEL DISCURSO PERIODÍSTICO </w:t>
            </w:r>
            <w:r>
              <w:t xml:space="preserve"> </w:t>
            </w:r>
          </w:p>
        </w:tc>
      </w:tr>
      <w:tr w:rsidR="00A13501">
        <w:trPr>
          <w:trHeight w:val="495"/>
        </w:trPr>
        <w:tc>
          <w:tcPr>
            <w:tcW w:w="1359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</w:pPr>
            <w:r>
              <w:rPr>
                <w:b/>
                <w:sz w:val="20"/>
              </w:rPr>
              <w:t xml:space="preserve">CÁTEDRA:  </w:t>
            </w:r>
            <w:r>
              <w:t xml:space="preserve"> </w:t>
            </w:r>
          </w:p>
        </w:tc>
        <w:tc>
          <w:tcPr>
            <w:tcW w:w="8435" w:type="dxa"/>
            <w:gridSpan w:val="8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8" w:right="0" w:firstLine="0"/>
              <w:jc w:val="left"/>
            </w:pPr>
            <w:r>
              <w:rPr>
                <w:sz w:val="20"/>
              </w:rPr>
              <w:t xml:space="preserve">Lic. Prof. Marisol Riera  </w:t>
            </w:r>
            <w:r>
              <w:t xml:space="preserve"> </w:t>
            </w:r>
          </w:p>
        </w:tc>
      </w:tr>
      <w:tr w:rsidR="00A13501">
        <w:trPr>
          <w:trHeight w:val="495"/>
        </w:trPr>
        <w:tc>
          <w:tcPr>
            <w:tcW w:w="203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 xml:space="preserve">MODALIDAD: </w:t>
            </w:r>
            <w:r>
              <w:t xml:space="preserve"> </w:t>
            </w:r>
          </w:p>
        </w:tc>
        <w:tc>
          <w:tcPr>
            <w:tcW w:w="4039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0"/>
              </w:rPr>
              <w:t xml:space="preserve">Presencial </w:t>
            </w:r>
            <w: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</w:pPr>
            <w:r>
              <w:rPr>
                <w:b/>
                <w:sz w:val="20"/>
              </w:rPr>
              <w:t xml:space="preserve">AÑO ACADÉMICO: 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6" w:right="0" w:firstLine="0"/>
              <w:jc w:val="left"/>
            </w:pPr>
            <w:r>
              <w:rPr>
                <w:sz w:val="20"/>
              </w:rPr>
              <w:t xml:space="preserve">2026 </w:t>
            </w:r>
            <w:r>
              <w:t xml:space="preserve"> </w:t>
            </w:r>
          </w:p>
        </w:tc>
      </w:tr>
      <w:tr w:rsidR="00A13501">
        <w:trPr>
          <w:trHeight w:val="520"/>
        </w:trPr>
        <w:tc>
          <w:tcPr>
            <w:tcW w:w="3130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</w:pPr>
            <w:r>
              <w:rPr>
                <w:b/>
                <w:sz w:val="20"/>
              </w:rPr>
              <w:t xml:space="preserve">CARGA HORARIA SEMANAL: </w:t>
            </w:r>
            <w:r>
              <w:t xml:space="preserve"> </w:t>
            </w:r>
          </w:p>
        </w:tc>
        <w:tc>
          <w:tcPr>
            <w:tcW w:w="2943" w:type="dxa"/>
            <w:gridSpan w:val="3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0"/>
              </w:rPr>
              <w:t xml:space="preserve">4 </w:t>
            </w:r>
            <w: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nil"/>
            </w:tcBorders>
            <w:shd w:val="clear" w:color="auto" w:fill="93C47D"/>
          </w:tcPr>
          <w:p w:rsidR="00A13501" w:rsidRDefault="00F7583C">
            <w:pPr>
              <w:spacing w:after="0" w:line="259" w:lineRule="auto"/>
              <w:ind w:left="5" w:right="0" w:hanging="5"/>
              <w:jc w:val="left"/>
            </w:pPr>
            <w:r>
              <w:rPr>
                <w:b/>
                <w:sz w:val="20"/>
              </w:rPr>
              <w:t>CARGA HORARIA TOTAL: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6" w:right="0" w:firstLine="0"/>
              <w:jc w:val="left"/>
            </w:pPr>
            <w:r>
              <w:rPr>
                <w:sz w:val="20"/>
              </w:rPr>
              <w:t xml:space="preserve">72 </w:t>
            </w:r>
            <w:r>
              <w:t xml:space="preserve"> </w:t>
            </w:r>
          </w:p>
        </w:tc>
      </w:tr>
      <w:tr w:rsidR="00A13501">
        <w:trPr>
          <w:trHeight w:val="495"/>
        </w:trPr>
        <w:tc>
          <w:tcPr>
            <w:tcW w:w="3130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>HORARIOS DE DICTADO:</w:t>
            </w: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  <w:tc>
          <w:tcPr>
            <w:tcW w:w="6664" w:type="dxa"/>
            <w:gridSpan w:val="5"/>
            <w:tcBorders>
              <w:top w:val="single" w:sz="4" w:space="0" w:color="6AA84F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7" w:right="0" w:firstLine="0"/>
              <w:jc w:val="left"/>
            </w:pPr>
            <w:r>
              <w:rPr>
                <w:sz w:val="20"/>
              </w:rPr>
              <w:t xml:space="preserve">3 P LPE Jueves 9.00 a 13.00 </w:t>
            </w:r>
            <w:proofErr w:type="spellStart"/>
            <w:r>
              <w:rPr>
                <w:sz w:val="20"/>
              </w:rPr>
              <w:t>hs</w:t>
            </w:r>
            <w:proofErr w:type="spellEnd"/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  <w:tr w:rsidR="00A13501">
        <w:trPr>
          <w:trHeight w:val="495"/>
        </w:trPr>
        <w:tc>
          <w:tcPr>
            <w:tcW w:w="1359" w:type="dxa"/>
            <w:tcBorders>
              <w:top w:val="single" w:sz="4" w:space="0" w:color="6AA84F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 xml:space="preserve">CURSO: </w:t>
            </w:r>
            <w:r>
              <w:t xml:space="preserve"> </w:t>
            </w:r>
          </w:p>
        </w:tc>
        <w:tc>
          <w:tcPr>
            <w:tcW w:w="2089" w:type="dxa"/>
            <w:gridSpan w:val="4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0"/>
              </w:rPr>
              <w:t xml:space="preserve">3 P LPE  </w:t>
            </w:r>
            <w:r>
              <w:t xml:space="preserve"> </w:t>
            </w:r>
          </w:p>
        </w:tc>
        <w:tc>
          <w:tcPr>
            <w:tcW w:w="1094" w:type="dxa"/>
            <w:tcBorders>
              <w:top w:val="single" w:sz="4" w:space="0" w:color="6AA84F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TURNO: </w:t>
            </w:r>
            <w:r>
              <w:t xml:space="preserve"> </w:t>
            </w:r>
          </w:p>
        </w:tc>
        <w:tc>
          <w:tcPr>
            <w:tcW w:w="1532" w:type="dxa"/>
            <w:tcBorders>
              <w:top w:val="single" w:sz="4" w:space="0" w:color="6AA84F"/>
              <w:left w:val="nil"/>
              <w:bottom w:val="single" w:sz="4" w:space="0" w:color="000000"/>
              <w:right w:val="nil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rPr>
                <w:sz w:val="20"/>
              </w:rPr>
              <w:t xml:space="preserve">Mañana  </w:t>
            </w:r>
            <w:r>
              <w:t xml:space="preserve">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000000"/>
              <w:right w:val="nil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  <w:sz w:val="20"/>
              </w:rPr>
              <w:t xml:space="preserve">SEDE: </w:t>
            </w:r>
            <w:r>
              <w:t xml:space="preserve"> </w:t>
            </w:r>
          </w:p>
        </w:tc>
        <w:tc>
          <w:tcPr>
            <w:tcW w:w="1651" w:type="dxa"/>
            <w:tcBorders>
              <w:top w:val="single" w:sz="4" w:space="0" w:color="6AA84F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6" w:right="0" w:firstLine="0"/>
              <w:jc w:val="left"/>
            </w:pPr>
            <w:r>
              <w:rPr>
                <w:sz w:val="20"/>
              </w:rPr>
              <w:t xml:space="preserve">Pilar  </w:t>
            </w:r>
            <w:r>
              <w:t xml:space="preserve"> </w:t>
            </w:r>
          </w:p>
        </w:tc>
      </w:tr>
      <w:tr w:rsidR="00A13501">
        <w:trPr>
          <w:trHeight w:val="496"/>
        </w:trPr>
        <w:tc>
          <w:tcPr>
            <w:tcW w:w="1925" w:type="dxa"/>
            <w:gridSpan w:val="2"/>
            <w:tcBorders>
              <w:top w:val="single" w:sz="4" w:space="0" w:color="000000"/>
              <w:left w:val="nil"/>
              <w:bottom w:val="single" w:sz="4" w:space="0" w:color="6AA84F"/>
              <w:right w:val="single" w:sz="4" w:space="0" w:color="000000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 xml:space="preserve">IDIOMA: </w:t>
            </w:r>
            <w:r>
              <w:t xml:space="preserve"> </w:t>
            </w:r>
          </w:p>
        </w:tc>
        <w:tc>
          <w:tcPr>
            <w:tcW w:w="786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13" w:right="0" w:firstLine="0"/>
              <w:jc w:val="left"/>
            </w:pPr>
            <w:r>
              <w:rPr>
                <w:sz w:val="20"/>
              </w:rPr>
              <w:t xml:space="preserve">Español </w:t>
            </w:r>
            <w:r>
              <w:t xml:space="preserve"> </w:t>
            </w:r>
          </w:p>
        </w:tc>
      </w:tr>
      <w:tr w:rsidR="00A13501">
        <w:trPr>
          <w:trHeight w:val="494"/>
        </w:trPr>
        <w:tc>
          <w:tcPr>
            <w:tcW w:w="1359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  <w:sz w:val="20"/>
              </w:rPr>
              <w:t xml:space="preserve">URL: </w:t>
            </w:r>
            <w:r>
              <w:t xml:space="preserve"> </w:t>
            </w:r>
          </w:p>
        </w:tc>
        <w:tc>
          <w:tcPr>
            <w:tcW w:w="8435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3" w:right="0" w:firstLine="0"/>
              <w:jc w:val="left"/>
            </w:pPr>
            <w:r>
              <w:rPr>
                <w:sz w:val="20"/>
              </w:rPr>
              <w:t xml:space="preserve"> </w:t>
            </w:r>
            <w:r>
              <w:t xml:space="preserve"> </w:t>
            </w:r>
          </w:p>
        </w:tc>
      </w:tr>
    </w:tbl>
    <w:p w:rsidR="00A13501" w:rsidRDefault="00F7583C">
      <w:pPr>
        <w:spacing w:after="1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63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 xml:space="preserve">CICLO: </w:t>
      </w: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i/>
          <w:sz w:val="20"/>
        </w:rPr>
        <w:t xml:space="preserve">(Marque con una cruz el ciclo correspondiente)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i/>
          <w:sz w:val="20"/>
        </w:rPr>
        <w:t xml:space="preserve"> </w:t>
      </w:r>
      <w:r>
        <w:t xml:space="preserve"> </w:t>
      </w:r>
    </w:p>
    <w:tbl>
      <w:tblPr>
        <w:tblStyle w:val="TableGrid"/>
        <w:tblW w:w="4781" w:type="dxa"/>
        <w:tblInd w:w="2457" w:type="dxa"/>
        <w:tblCellMar>
          <w:top w:w="0" w:type="dxa"/>
          <w:left w:w="159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933"/>
        <w:gridCol w:w="577"/>
        <w:gridCol w:w="2725"/>
        <w:gridCol w:w="546"/>
      </w:tblGrid>
      <w:tr w:rsidR="00A13501">
        <w:trPr>
          <w:trHeight w:val="582"/>
        </w:trPr>
        <w:tc>
          <w:tcPr>
            <w:tcW w:w="933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Básico </w:t>
            </w:r>
            <w:r>
              <w:t xml:space="preserve"> 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50" w:right="0" w:firstLine="0"/>
              <w:jc w:val="center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110" w:firstLine="0"/>
              <w:jc w:val="center"/>
            </w:pPr>
            <w:r>
              <w:rPr>
                <w:b/>
              </w:rPr>
              <w:t xml:space="preserve">Superior/Profesional </w:t>
            </w:r>
            <w:r>
              <w:t xml:space="preserve"> </w:t>
            </w:r>
          </w:p>
        </w:tc>
        <w:tc>
          <w:tcPr>
            <w:tcW w:w="546" w:type="dxa"/>
            <w:tcBorders>
              <w:top w:val="single" w:sz="4" w:space="0" w:color="000000"/>
              <w:left w:val="single" w:sz="4" w:space="0" w:color="6AA84F"/>
              <w:bottom w:val="single" w:sz="4" w:space="0" w:color="6AA84F"/>
              <w:right w:val="single" w:sz="4" w:space="0" w:color="000000"/>
            </w:tcBorders>
            <w:vAlign w:val="center"/>
          </w:tcPr>
          <w:p w:rsidR="00A13501" w:rsidRDefault="00F7583C">
            <w:pPr>
              <w:spacing w:after="0" w:line="259" w:lineRule="auto"/>
              <w:ind w:left="0" w:right="109" w:firstLine="0"/>
              <w:jc w:val="center"/>
            </w:pPr>
            <w:r>
              <w:rPr>
                <w:b/>
              </w:rPr>
              <w:t xml:space="preserve">x </w:t>
            </w:r>
            <w:r>
              <w:t xml:space="preserve"> </w:t>
            </w:r>
          </w:p>
        </w:tc>
      </w:tr>
    </w:tbl>
    <w:p w:rsidR="00A13501" w:rsidRDefault="00F7583C">
      <w:pPr>
        <w:spacing w:after="1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6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>COMPOSICIÓN DE LA CÁTEDRA:</w:t>
      </w: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8864" w:type="dxa"/>
        <w:tblInd w:w="43" w:type="dxa"/>
        <w:tblCellMar>
          <w:top w:w="56" w:type="dxa"/>
          <w:left w:w="93" w:type="dxa"/>
          <w:bottom w:w="27" w:type="dxa"/>
          <w:right w:w="115" w:type="dxa"/>
        </w:tblCellMar>
        <w:tblLook w:val="04A0" w:firstRow="1" w:lastRow="0" w:firstColumn="1" w:lastColumn="0" w:noHBand="0" w:noVBand="1"/>
      </w:tblPr>
      <w:tblGrid>
        <w:gridCol w:w="3999"/>
        <w:gridCol w:w="1876"/>
        <w:gridCol w:w="2989"/>
      </w:tblGrid>
      <w:tr w:rsidR="00A13501">
        <w:trPr>
          <w:trHeight w:val="128"/>
        </w:trPr>
        <w:tc>
          <w:tcPr>
            <w:tcW w:w="3999" w:type="dxa"/>
            <w:vMerge w:val="restart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Docente </w:t>
            </w:r>
            <w: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38761D"/>
              <w:bottom w:val="nil"/>
              <w:right w:val="single" w:sz="8" w:space="0" w:color="38761D"/>
            </w:tcBorders>
            <w:shd w:val="clear" w:color="auto" w:fill="A8D08D"/>
          </w:tcPr>
          <w:p w:rsidR="00A13501" w:rsidRDefault="00A135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989" w:type="dxa"/>
            <w:tcBorders>
              <w:top w:val="single" w:sz="8" w:space="0" w:color="38761D"/>
              <w:left w:val="single" w:sz="8" w:space="0" w:color="38761D"/>
              <w:bottom w:val="nil"/>
              <w:right w:val="single" w:sz="8" w:space="0" w:color="38761D"/>
            </w:tcBorders>
            <w:shd w:val="clear" w:color="auto" w:fill="A8D08D"/>
          </w:tcPr>
          <w:p w:rsidR="00A13501" w:rsidRDefault="00A13501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A13501">
        <w:trPr>
          <w:trHeight w:val="613"/>
        </w:trPr>
        <w:tc>
          <w:tcPr>
            <w:tcW w:w="0" w:type="auto"/>
            <w:vMerge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A13501" w:rsidRDefault="00A13501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76" w:type="dxa"/>
            <w:tcBorders>
              <w:top w:val="nil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A13501" w:rsidRDefault="00F7583C">
            <w:pPr>
              <w:spacing w:after="0" w:line="259" w:lineRule="auto"/>
              <w:ind w:left="8" w:right="0" w:firstLine="0"/>
              <w:jc w:val="left"/>
            </w:pPr>
            <w:r>
              <w:rPr>
                <w:b/>
              </w:rPr>
              <w:t xml:space="preserve">Función </w:t>
            </w:r>
            <w:r>
              <w:t xml:space="preserve"> </w:t>
            </w:r>
          </w:p>
        </w:tc>
        <w:tc>
          <w:tcPr>
            <w:tcW w:w="2989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A13501" w:rsidRDefault="00F7583C">
            <w:pPr>
              <w:spacing w:after="0" w:line="259" w:lineRule="auto"/>
              <w:ind w:left="7" w:right="0" w:firstLine="0"/>
              <w:jc w:val="left"/>
            </w:pPr>
            <w:r>
              <w:rPr>
                <w:b/>
              </w:rPr>
              <w:t xml:space="preserve">E-mail </w:t>
            </w:r>
            <w:r>
              <w:t xml:space="preserve"> </w:t>
            </w:r>
          </w:p>
        </w:tc>
      </w:tr>
      <w:tr w:rsidR="00A13501">
        <w:trPr>
          <w:trHeight w:val="923"/>
        </w:trPr>
        <w:tc>
          <w:tcPr>
            <w:tcW w:w="3999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bottom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t xml:space="preserve"> Marisol Riera</w:t>
            </w:r>
            <w:r>
              <w:t xml:space="preserve"> 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bottom"/>
          </w:tcPr>
          <w:p w:rsidR="00A13501" w:rsidRDefault="00F7583C">
            <w:pPr>
              <w:spacing w:after="0" w:line="259" w:lineRule="auto"/>
              <w:ind w:left="13" w:right="0" w:firstLine="0"/>
              <w:jc w:val="left"/>
            </w:pPr>
            <w:r>
              <w:t xml:space="preserve"> </w:t>
            </w:r>
          </w:p>
          <w:p w:rsidR="00A13501" w:rsidRDefault="00F7583C">
            <w:pPr>
              <w:spacing w:after="0" w:line="259" w:lineRule="auto"/>
              <w:ind w:left="13" w:right="0" w:firstLine="0"/>
              <w:jc w:val="left"/>
            </w:pPr>
            <w:r>
              <w:t xml:space="preserve">A cargo  </w:t>
            </w:r>
            <w:r>
              <w:t xml:space="preserve"> </w:t>
            </w:r>
          </w:p>
          <w:p w:rsidR="00A13501" w:rsidRDefault="00F7583C">
            <w:pPr>
              <w:spacing w:after="0" w:line="259" w:lineRule="auto"/>
              <w:ind w:left="13" w:right="0" w:firstLine="0"/>
              <w:jc w:val="left"/>
            </w:pPr>
            <w:r>
              <w:t xml:space="preserve"> </w:t>
            </w:r>
            <w:r>
              <w:t xml:space="preserve"> </w:t>
            </w:r>
          </w:p>
        </w:tc>
        <w:tc>
          <w:tcPr>
            <w:tcW w:w="2989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13501" w:rsidRDefault="00F7583C">
            <w:pPr>
              <w:spacing w:after="0" w:line="259" w:lineRule="auto"/>
              <w:ind w:left="12" w:right="0" w:firstLine="0"/>
              <w:jc w:val="left"/>
            </w:pPr>
            <w:r>
              <w:t xml:space="preserve"> </w:t>
            </w:r>
          </w:p>
          <w:p w:rsidR="00A13501" w:rsidRDefault="00F7583C">
            <w:pPr>
              <w:spacing w:after="0" w:line="259" w:lineRule="auto"/>
              <w:ind w:left="12" w:right="0" w:firstLine="0"/>
              <w:jc w:val="left"/>
            </w:pPr>
            <w:r>
              <w:t>m.riera@usal.edu.ar</w:t>
            </w:r>
            <w:r>
              <w:t xml:space="preserve"> </w:t>
            </w:r>
          </w:p>
        </w:tc>
      </w:tr>
    </w:tbl>
    <w:p w:rsidR="00A13501" w:rsidRDefault="00F7583C">
      <w:pPr>
        <w:spacing w:after="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tbl>
      <w:tblPr>
        <w:tblStyle w:val="TableGrid"/>
        <w:tblW w:w="8867" w:type="dxa"/>
        <w:tblInd w:w="43" w:type="dxa"/>
        <w:tblCellMar>
          <w:top w:w="187" w:type="dxa"/>
          <w:left w:w="93" w:type="dxa"/>
          <w:bottom w:w="0" w:type="dxa"/>
          <w:right w:w="426" w:type="dxa"/>
        </w:tblCellMar>
        <w:tblLook w:val="04A0" w:firstRow="1" w:lastRow="0" w:firstColumn="1" w:lastColumn="0" w:noHBand="0" w:noVBand="1"/>
      </w:tblPr>
      <w:tblGrid>
        <w:gridCol w:w="3997"/>
        <w:gridCol w:w="4870"/>
      </w:tblGrid>
      <w:tr w:rsidR="00A13501">
        <w:trPr>
          <w:trHeight w:val="1110"/>
        </w:trPr>
        <w:tc>
          <w:tcPr>
            <w:tcW w:w="3997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58" w:firstLine="0"/>
            </w:pPr>
            <w:r>
              <w:rPr>
                <w:b/>
                <w:sz w:val="24"/>
              </w:rPr>
              <w:t xml:space="preserve">Asesor técnico-pedagógico </w:t>
            </w:r>
            <w:r>
              <w:t xml:space="preserve"> </w:t>
            </w:r>
            <w:r>
              <w:rPr>
                <w:sz w:val="24"/>
              </w:rPr>
              <w:t>(Completar si la materia tiene carga horaria a distancia)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4870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A13501" w:rsidRDefault="00F7583C">
            <w:pPr>
              <w:spacing w:after="0" w:line="259" w:lineRule="auto"/>
              <w:ind w:left="11" w:right="0" w:firstLine="0"/>
              <w:jc w:val="left"/>
            </w:pPr>
            <w:r>
              <w:rPr>
                <w:b/>
              </w:rPr>
              <w:t xml:space="preserve"> </w:t>
            </w:r>
            <w:r>
              <w:t xml:space="preserve"> </w:t>
            </w:r>
          </w:p>
        </w:tc>
      </w:tr>
    </w:tbl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1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67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>EJE/ÁREA EN QUE SE ENCUENTRA LA MATERIA/SEMINARIO DENTRO DE LA CARRERA:</w:t>
      </w:r>
      <w:r>
        <w:t xml:space="preserve"> </w:t>
      </w:r>
      <w:r>
        <w:t xml:space="preserve"> </w:t>
      </w:r>
    </w:p>
    <w:p w:rsidR="00A13501" w:rsidRDefault="00F7583C">
      <w:pPr>
        <w:ind w:right="0"/>
      </w:pPr>
      <w:r>
        <w:t xml:space="preserve">Periodismo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7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>FUNDAMENTACIÓN DE LA MATERIA/SEMINARIO EN LA CARRERA:</w:t>
      </w:r>
      <w:r>
        <w:t xml:space="preserve"> </w:t>
      </w:r>
      <w:r>
        <w:t xml:space="preserve"> </w:t>
      </w:r>
    </w:p>
    <w:p w:rsidR="00A13501" w:rsidRDefault="00F7583C">
      <w:pPr>
        <w:ind w:left="390" w:right="175"/>
      </w:pPr>
      <w:r>
        <w:t>La materia está organizada alrededor de las diferentes técnicas de análisis del mensaje periodístico, de utilidad tanto para medios gráficos, televisivos, radiales y de Internet. A lo largo de la misma se presentan fundamentos teóricos y herramientas práct</w:t>
      </w:r>
      <w:r>
        <w:t xml:space="preserve">icas para el estudio de los discursos, poniendo énfasis en las construcciones discursivas periodísticas.  </w:t>
      </w:r>
      <w:r>
        <w:t xml:space="preserve"> </w:t>
      </w:r>
    </w:p>
    <w:p w:rsidR="00A13501" w:rsidRDefault="00F7583C">
      <w:pPr>
        <w:ind w:left="390" w:right="172"/>
      </w:pPr>
      <w:r>
        <w:t>El recorrido comienza con las modalidades de análisis cuantitativas (análisis de contenido) para abordar luego las cualitativas (análisis de discurs</w:t>
      </w:r>
      <w:r>
        <w:t>o y análisis crítico de discurso) dando igual preponderancia tanto a las escuelas norteamericanas como a las europeas. La asignatura se presenta como un punto de encuentro de múltiples enfoques sobre el tema del discurso, un universo en que los aparatos co</w:t>
      </w:r>
      <w:r>
        <w:t xml:space="preserve">nceptuales y metodológicos son abundantes y a veces contradictorios.  </w:t>
      </w:r>
      <w:r>
        <w:t xml:space="preserve"> </w:t>
      </w:r>
    </w:p>
    <w:p w:rsidR="00A13501" w:rsidRDefault="00F7583C">
      <w:pPr>
        <w:ind w:left="390" w:right="0"/>
      </w:pPr>
      <w:r>
        <w:t>Desde la bibliografía propuesta se aborda el campo de análisis del discurso a partir de las reflexiones teóricas, las herramientas metodológicas y los problemas que atraviesan y delimi</w:t>
      </w:r>
      <w:r>
        <w:t xml:space="preserve">tan el campo.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 xml:space="preserve">OBJETIVOS DE LA MATERIA: </w:t>
      </w:r>
      <w:r>
        <w:t xml:space="preserve"> </w:t>
      </w:r>
    </w:p>
    <w:p w:rsidR="00A13501" w:rsidRDefault="00F7583C">
      <w:pPr>
        <w:spacing w:after="3" w:line="261" w:lineRule="auto"/>
        <w:ind w:left="390" w:right="0"/>
        <w:jc w:val="left"/>
      </w:pPr>
      <w:r>
        <w:rPr>
          <w:b/>
        </w:rPr>
        <w:t>Que el estudiante logre</w:t>
      </w:r>
      <w:r>
        <w:t xml:space="preserve">: </w:t>
      </w:r>
      <w:r>
        <w:t xml:space="preserve"> </w:t>
      </w:r>
    </w:p>
    <w:p w:rsidR="00A13501" w:rsidRDefault="00F7583C">
      <w:pPr>
        <w:numPr>
          <w:ilvl w:val="1"/>
          <w:numId w:val="1"/>
        </w:numPr>
        <w:ind w:right="0" w:hanging="361"/>
      </w:pPr>
      <w:r>
        <w:t>Conocer las características de los discursos periodísticos en cada medio de comunicación.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1"/>
          <w:numId w:val="1"/>
        </w:numPr>
        <w:ind w:right="0" w:hanging="361"/>
      </w:pPr>
      <w:r>
        <w:t xml:space="preserve">Manejar técnicas metodológicas para el análisis cuantitativo y cualitativo de los diferentes discursos informativos. </w:t>
      </w:r>
      <w:r>
        <w:t xml:space="preserve"> </w:t>
      </w:r>
    </w:p>
    <w:p w:rsidR="00A13501" w:rsidRDefault="00F7583C">
      <w:pPr>
        <w:numPr>
          <w:ilvl w:val="1"/>
          <w:numId w:val="1"/>
        </w:numPr>
        <w:spacing w:after="28"/>
        <w:ind w:right="0" w:hanging="361"/>
      </w:pPr>
      <w:r>
        <w:t>Entender los fenómenos discursivos como fenómenos que se articulan sobre formaciones ideológicas que atraviesan los distintos medios de c</w:t>
      </w:r>
      <w:r>
        <w:t xml:space="preserve">omunicación.  </w:t>
      </w:r>
      <w:r>
        <w:t xml:space="preserve"> </w:t>
      </w:r>
    </w:p>
    <w:p w:rsidR="00A13501" w:rsidRDefault="00F7583C">
      <w:pPr>
        <w:numPr>
          <w:ilvl w:val="1"/>
          <w:numId w:val="1"/>
        </w:numPr>
        <w:ind w:right="0" w:hanging="361"/>
      </w:pPr>
      <w:r>
        <w:t xml:space="preserve">Evaluar los contenidos de los distintos tipos de mensajes de los medios periodísticos. </w:t>
      </w:r>
      <w:r>
        <w:t xml:space="preserve"> </w:t>
      </w:r>
    </w:p>
    <w:p w:rsidR="00A13501" w:rsidRDefault="00F7583C">
      <w:pPr>
        <w:numPr>
          <w:ilvl w:val="1"/>
          <w:numId w:val="1"/>
        </w:numPr>
        <w:ind w:right="0" w:hanging="361"/>
      </w:pPr>
      <w:r>
        <w:t xml:space="preserve">Desarrollar el sentido crítico para analizar los mensajes periodísticos gráficos, televisivos, radiales y de Internet.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lastRenderedPageBreak/>
        <w:t xml:space="preserve"> </w:t>
      </w:r>
      <w:r>
        <w:t xml:space="preserve"> </w:t>
      </w:r>
    </w:p>
    <w:p w:rsidR="00A13501" w:rsidRDefault="00F7583C">
      <w:pPr>
        <w:spacing w:after="6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 xml:space="preserve">ASIGNACIÓN HORARIA: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i/>
          <w:color w:val="4A442A"/>
          <w:sz w:val="20"/>
        </w:rPr>
        <w:t xml:space="preserve"> </w:t>
      </w:r>
      <w:r>
        <w:t xml:space="preserve"> </w:t>
      </w:r>
    </w:p>
    <w:tbl>
      <w:tblPr>
        <w:tblStyle w:val="TableGrid"/>
        <w:tblW w:w="8006" w:type="dxa"/>
        <w:tblInd w:w="837" w:type="dxa"/>
        <w:tblCellMar>
          <w:top w:w="0" w:type="dxa"/>
          <w:left w:w="99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4660"/>
        <w:gridCol w:w="1161"/>
        <w:gridCol w:w="1156"/>
        <w:gridCol w:w="1029"/>
      </w:tblGrid>
      <w:tr w:rsidR="00A13501">
        <w:trPr>
          <w:trHeight w:val="424"/>
        </w:trPr>
        <w:tc>
          <w:tcPr>
            <w:tcW w:w="4661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  <w:r>
              <w:t xml:space="preserve"> </w:t>
            </w:r>
          </w:p>
        </w:tc>
        <w:tc>
          <w:tcPr>
            <w:tcW w:w="11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</w:rPr>
              <w:t>Teórica</w:t>
            </w:r>
            <w:r>
              <w:t xml:space="preserve"> </w:t>
            </w:r>
            <w:r>
              <w:t xml:space="preserve">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141" w:firstLine="0"/>
              <w:jc w:val="right"/>
            </w:pPr>
            <w:r>
              <w:rPr>
                <w:b/>
              </w:rPr>
              <w:t>Práctica</w:t>
            </w:r>
            <w:r>
              <w:t xml:space="preserve"> 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>Total</w:t>
            </w:r>
            <w:r>
              <w:t xml:space="preserve"> </w:t>
            </w:r>
            <w:r>
              <w:t xml:space="preserve"> </w:t>
            </w:r>
          </w:p>
        </w:tc>
      </w:tr>
      <w:tr w:rsidR="00A13501">
        <w:trPr>
          <w:trHeight w:val="644"/>
        </w:trPr>
        <w:tc>
          <w:tcPr>
            <w:tcW w:w="46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de trabajo sincrónico presencial </w:t>
            </w:r>
            <w:r>
              <w:t xml:space="preserve"> </w:t>
            </w:r>
          </w:p>
        </w:tc>
        <w:tc>
          <w:tcPr>
            <w:tcW w:w="11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6" w:right="0" w:firstLine="0"/>
              <w:jc w:val="left"/>
            </w:pPr>
            <w:r>
              <w:t xml:space="preserve">58 </w:t>
            </w:r>
            <w:r>
              <w:t xml:space="preserve">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 14 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72 </w:t>
            </w:r>
            <w:r>
              <w:t xml:space="preserve"> </w:t>
            </w:r>
          </w:p>
        </w:tc>
      </w:tr>
      <w:tr w:rsidR="00A13501">
        <w:trPr>
          <w:trHeight w:val="644"/>
        </w:trPr>
        <w:tc>
          <w:tcPr>
            <w:tcW w:w="46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de trabajo asincrónico </w:t>
            </w:r>
            <w:r>
              <w:t xml:space="preserve"> </w:t>
            </w:r>
          </w:p>
        </w:tc>
        <w:tc>
          <w:tcPr>
            <w:tcW w:w="11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2" w:right="0" w:firstLine="0"/>
              <w:jc w:val="left"/>
            </w:pPr>
            <w:r>
              <w:t xml:space="preserve">xxx </w:t>
            </w:r>
            <w:r>
              <w:t xml:space="preserve">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 xxx 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xxx </w:t>
            </w:r>
            <w:r>
              <w:t xml:space="preserve"> </w:t>
            </w:r>
          </w:p>
        </w:tc>
      </w:tr>
      <w:tr w:rsidR="00A13501">
        <w:trPr>
          <w:trHeight w:val="644"/>
        </w:trPr>
        <w:tc>
          <w:tcPr>
            <w:tcW w:w="46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A13501" w:rsidRDefault="00F7583C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Carga horaria general </w:t>
            </w:r>
            <w:r>
              <w:t xml:space="preserve"> </w:t>
            </w:r>
          </w:p>
        </w:tc>
        <w:tc>
          <w:tcPr>
            <w:tcW w:w="1161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7" w:right="0" w:firstLine="0"/>
              <w:jc w:val="left"/>
            </w:pPr>
            <w:r>
              <w:t xml:space="preserve"> 58 </w:t>
            </w:r>
            <w:r>
              <w:t xml:space="preserve"> </w:t>
            </w:r>
          </w:p>
        </w:tc>
        <w:tc>
          <w:tcPr>
            <w:tcW w:w="115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 14 </w:t>
            </w:r>
            <w:r>
              <w:t xml:space="preserve"> </w:t>
            </w:r>
          </w:p>
        </w:tc>
        <w:tc>
          <w:tcPr>
            <w:tcW w:w="1029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A13501" w:rsidRDefault="00F7583C">
            <w:pPr>
              <w:spacing w:after="0" w:line="259" w:lineRule="auto"/>
              <w:ind w:left="1" w:right="0" w:firstLine="0"/>
              <w:jc w:val="left"/>
            </w:pPr>
            <w:r>
              <w:t xml:space="preserve"> 72 </w:t>
            </w:r>
            <w:r>
              <w:t xml:space="preserve"> </w:t>
            </w:r>
          </w:p>
        </w:tc>
      </w:tr>
    </w:tbl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1"/>
        </w:numPr>
        <w:spacing w:after="3" w:line="261" w:lineRule="auto"/>
        <w:ind w:right="0" w:hanging="726"/>
        <w:jc w:val="left"/>
      </w:pPr>
      <w:r>
        <w:rPr>
          <w:b/>
        </w:rPr>
        <w:t xml:space="preserve">UNIDADES TEMÁTICAS, CONTENIDOS, BIBLIOGRAFÍA POR UNIDAD TEMÁTICA: </w:t>
      </w:r>
      <w:r>
        <w:t xml:space="preserve"> </w:t>
      </w:r>
    </w:p>
    <w:p w:rsidR="00A13501" w:rsidRDefault="00F7583C">
      <w:pPr>
        <w:spacing w:after="12" w:line="259" w:lineRule="auto"/>
        <w:ind w:left="15" w:right="0" w:firstLine="0"/>
        <w:jc w:val="left"/>
      </w:pPr>
      <w:r>
        <w:rPr>
          <w:i/>
          <w:color w:val="4A442A"/>
          <w:sz w:val="20"/>
        </w:rPr>
        <w:t xml:space="preserve"> </w:t>
      </w:r>
      <w:r>
        <w:rPr>
          <w:i/>
          <w:color w:val="1155CC"/>
          <w:sz w:val="20"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Unidad 1: Análisis </w:t>
      </w:r>
      <w:proofErr w:type="spellStart"/>
      <w:r>
        <w:rPr>
          <w:b/>
        </w:rPr>
        <w:t>intertexual</w:t>
      </w:r>
      <w:proofErr w:type="spellEnd"/>
      <w:r>
        <w:rPr>
          <w:b/>
        </w:rPr>
        <w:t xml:space="preserve"> de diarios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8"/>
        <w:ind w:right="0" w:hanging="365"/>
      </w:pPr>
      <w:r>
        <w:t>Métodos de investigación sobre el mensaje informativo. Método propio de las ciencias sociales: análisis de presentación de los mensajes, aná</w:t>
      </w:r>
      <w:r>
        <w:t xml:space="preserve">lisis de contenidos y análisis estructuralista. Método humanístico: análisis lingüístico y crítica literaria. 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7"/>
        <w:ind w:right="0" w:hanging="365"/>
      </w:pPr>
      <w:r>
        <w:t xml:space="preserve">Valoración de la superficie mosaico. Valoración de </w:t>
      </w:r>
      <w:proofErr w:type="spellStart"/>
      <w:r>
        <w:t>Haas</w:t>
      </w:r>
      <w:proofErr w:type="spellEnd"/>
      <w:r>
        <w:t xml:space="preserve">. El Centro de Impacto Visual.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 xml:space="preserve">Análisis de </w:t>
      </w:r>
      <w:proofErr w:type="spellStart"/>
      <w:r>
        <w:t>Kayser</w:t>
      </w:r>
      <w:proofErr w:type="spellEnd"/>
      <w:r>
        <w:t xml:space="preserve">: El registro de identificación y el </w:t>
      </w:r>
      <w:r>
        <w:t xml:space="preserve">expediente de identidad. La morfología del diario: </w:t>
      </w:r>
      <w:r>
        <w:t xml:space="preserve"> </w:t>
      </w:r>
    </w:p>
    <w:p w:rsidR="00A13501" w:rsidRDefault="00F7583C">
      <w:pPr>
        <w:ind w:left="390" w:right="0"/>
      </w:pPr>
      <w:r>
        <w:t xml:space="preserve">elementos de estructura y unidades </w:t>
      </w:r>
      <w:proofErr w:type="spellStart"/>
      <w:r>
        <w:t>redaccionales</w:t>
      </w:r>
      <w:proofErr w:type="spellEnd"/>
      <w:r>
        <w:t xml:space="preserve">. Estudio de valoración. 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 xml:space="preserve">Aplicación de las técnicas de investigación al análisis de los diarios argentinos y otros medios.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Bibliografía obligatoria: </w:t>
      </w:r>
      <w:r>
        <w:t xml:space="preserve"> </w:t>
      </w:r>
    </w:p>
    <w:p w:rsidR="00A13501" w:rsidRDefault="00F7583C">
      <w:pPr>
        <w:ind w:right="0"/>
      </w:pPr>
      <w:r>
        <w:t xml:space="preserve">Martínez Albertos, J. L. (2004). </w:t>
      </w:r>
      <w:r>
        <w:rPr>
          <w:i/>
        </w:rPr>
        <w:t>Curso general de redacción periodística</w:t>
      </w:r>
      <w:r>
        <w:t xml:space="preserve">. Paraninfo. (Cap. 5) </w:t>
      </w:r>
      <w:r>
        <w:t xml:space="preserve"> </w:t>
      </w:r>
    </w:p>
    <w:p w:rsidR="00A13501" w:rsidRDefault="00F7583C">
      <w:pPr>
        <w:ind w:right="0"/>
      </w:pPr>
      <w:proofErr w:type="spellStart"/>
      <w:r>
        <w:t>Kayser</w:t>
      </w:r>
      <w:proofErr w:type="spellEnd"/>
      <w:r>
        <w:t xml:space="preserve">, J. (1982). </w:t>
      </w:r>
      <w:r>
        <w:rPr>
          <w:i/>
        </w:rPr>
        <w:t>El diario francés.</w:t>
      </w:r>
      <w:r>
        <w:t xml:space="preserve"> ATE. (Todo. Ficha y texto) </w:t>
      </w:r>
      <w:r>
        <w:t xml:space="preserve"> </w:t>
      </w:r>
    </w:p>
    <w:p w:rsidR="00A13501" w:rsidRDefault="00F7583C">
      <w:pPr>
        <w:ind w:right="0"/>
      </w:pPr>
      <w:proofErr w:type="spellStart"/>
      <w:r>
        <w:t>Nuñez</w:t>
      </w:r>
      <w:proofErr w:type="spellEnd"/>
      <w:r>
        <w:t xml:space="preserve"> </w:t>
      </w:r>
      <w:proofErr w:type="spellStart"/>
      <w:r>
        <w:t>Ladeveze</w:t>
      </w:r>
      <w:proofErr w:type="spellEnd"/>
      <w:r>
        <w:t xml:space="preserve">, L. (1979). </w:t>
      </w:r>
      <w:r>
        <w:rPr>
          <w:i/>
        </w:rPr>
        <w:t>El lenguaje de los “media”.</w:t>
      </w:r>
      <w:r>
        <w:t xml:space="preserve"> </w:t>
      </w:r>
      <w:r>
        <w:t xml:space="preserve">Pirámide. (Ficha de la cátedra. Cap. 26) </w:t>
      </w:r>
      <w:r>
        <w:t xml:space="preserve"> </w:t>
      </w:r>
    </w:p>
    <w:p w:rsidR="00A13501" w:rsidRDefault="00F7583C">
      <w:pPr>
        <w:spacing w:after="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2183"/>
        <w:jc w:val="left"/>
      </w:pPr>
      <w:r>
        <w:rPr>
          <w:b/>
        </w:rPr>
        <w:t xml:space="preserve">Unidad 2: Análisis de contenido y otros análisis </w:t>
      </w:r>
      <w:proofErr w:type="spellStart"/>
      <w:r>
        <w:rPr>
          <w:b/>
        </w:rPr>
        <w:t>intratextuales</w:t>
      </w:r>
      <w:proofErr w:type="spellEnd"/>
      <w:r>
        <w:rPr>
          <w:b/>
        </w:rPr>
        <w:t xml:space="preserve"> de diarios </w:t>
      </w:r>
      <w:r>
        <w:t>-</w:t>
      </w:r>
      <w:r>
        <w:rPr>
          <w:rFonts w:ascii="Arial" w:eastAsia="Arial" w:hAnsi="Arial" w:cs="Arial"/>
        </w:rPr>
        <w:t xml:space="preserve">  </w:t>
      </w:r>
      <w:r>
        <w:t xml:space="preserve">Análisis de contenido. Definición.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31"/>
        <w:ind w:right="0" w:hanging="365"/>
      </w:pPr>
      <w:r>
        <w:t xml:space="preserve">Orígenes y evolución.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7"/>
        <w:ind w:right="0" w:hanging="365"/>
      </w:pPr>
      <w:r>
        <w:t xml:space="preserve">Tipos de análisis de contenido. 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31"/>
        <w:ind w:right="0" w:hanging="365"/>
      </w:pPr>
      <w:r>
        <w:t xml:space="preserve">Pasos para su desarrollo.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6"/>
        <w:ind w:right="0" w:hanging="365"/>
      </w:pPr>
      <w:r>
        <w:t>Aplic</w:t>
      </w:r>
      <w:r>
        <w:t xml:space="preserve">aciones y limitaciones.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32"/>
        <w:ind w:right="0" w:hanging="365"/>
      </w:pPr>
      <w:r>
        <w:t xml:space="preserve">La fiabilidad y la validez.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 xml:space="preserve">Otros análisis </w:t>
      </w:r>
      <w:proofErr w:type="spellStart"/>
      <w:r>
        <w:t>intratextuales</w:t>
      </w:r>
      <w:proofErr w:type="spellEnd"/>
      <w:r>
        <w:t xml:space="preserve">: El contenido de los símbolos. El diferencial semántico.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Bibliografía obligatoria: </w:t>
      </w:r>
      <w:r>
        <w:t xml:space="preserve"> </w:t>
      </w:r>
    </w:p>
    <w:p w:rsidR="00A13501" w:rsidRDefault="00F7583C">
      <w:pPr>
        <w:ind w:right="0"/>
      </w:pPr>
      <w:proofErr w:type="spellStart"/>
      <w:r>
        <w:t>Ander</w:t>
      </w:r>
      <w:proofErr w:type="spellEnd"/>
      <w:r>
        <w:t xml:space="preserve"> </w:t>
      </w:r>
      <w:proofErr w:type="spellStart"/>
      <w:r>
        <w:t>Egg</w:t>
      </w:r>
      <w:proofErr w:type="spellEnd"/>
      <w:r>
        <w:t xml:space="preserve">, E. (1995). </w:t>
      </w:r>
      <w:r>
        <w:rPr>
          <w:i/>
        </w:rPr>
        <w:t>Técnicas de investigación social.</w:t>
      </w:r>
      <w:r>
        <w:t xml:space="preserve"> Lumen. (Cap. 19)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proofErr w:type="spellStart"/>
      <w:r>
        <w:t>Piñuel</w:t>
      </w:r>
      <w:proofErr w:type="spellEnd"/>
      <w:r>
        <w:t xml:space="preserve"> </w:t>
      </w:r>
      <w:proofErr w:type="spellStart"/>
      <w:r>
        <w:t>Raigada</w:t>
      </w:r>
      <w:proofErr w:type="spellEnd"/>
      <w:r>
        <w:t xml:space="preserve">, J.L. y Gaitán Moya, J.A. (1995). </w:t>
      </w:r>
      <w:r>
        <w:rPr>
          <w:i/>
        </w:rPr>
        <w:t>Metodología general. Conocimiento científico e investigación en la comunicación social.</w:t>
      </w:r>
      <w:r>
        <w:t xml:space="preserve"> Síntesis. (Ficha de la Cátedra)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proofErr w:type="spellStart"/>
      <w:r>
        <w:t>Wimmer</w:t>
      </w:r>
      <w:proofErr w:type="spellEnd"/>
      <w:r>
        <w:t xml:space="preserve">, R y </w:t>
      </w:r>
      <w:proofErr w:type="spellStart"/>
      <w:r>
        <w:t>Dominick</w:t>
      </w:r>
      <w:proofErr w:type="spellEnd"/>
      <w:r>
        <w:t xml:space="preserve">, J. (1996). </w:t>
      </w:r>
      <w:r>
        <w:rPr>
          <w:i/>
        </w:rPr>
        <w:t>La investigación científica de los medios de comunic</w:t>
      </w:r>
      <w:r>
        <w:rPr>
          <w:i/>
        </w:rPr>
        <w:t>ación</w:t>
      </w:r>
      <w:r>
        <w:t xml:space="preserve">. </w:t>
      </w:r>
      <w:proofErr w:type="spellStart"/>
      <w:r>
        <w:t>Bosh</w:t>
      </w:r>
      <w:proofErr w:type="spellEnd"/>
      <w:r>
        <w:t xml:space="preserve">. (Cap. 8)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1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3091"/>
        <w:jc w:val="left"/>
      </w:pPr>
      <w:r>
        <w:rPr>
          <w:b/>
        </w:rPr>
        <w:lastRenderedPageBreak/>
        <w:t xml:space="preserve">Unidad 3: Análisis semántico estructurales de los </w:t>
      </w:r>
      <w:proofErr w:type="gramStart"/>
      <w:r>
        <w:rPr>
          <w:b/>
        </w:rPr>
        <w:t xml:space="preserve">mensajes  </w:t>
      </w:r>
      <w:r>
        <w:t>-</w:t>
      </w:r>
      <w:proofErr w:type="gramEnd"/>
      <w:r>
        <w:rPr>
          <w:rFonts w:ascii="Arial" w:eastAsia="Arial" w:hAnsi="Arial" w:cs="Arial"/>
        </w:rPr>
        <w:t xml:space="preserve">  </w:t>
      </w:r>
      <w:r>
        <w:t xml:space="preserve">Morfología de la narración. Los estudios de V. </w:t>
      </w:r>
      <w:proofErr w:type="spellStart"/>
      <w:r>
        <w:t>Propp</w:t>
      </w:r>
      <w:proofErr w:type="spellEnd"/>
      <w:r>
        <w:t xml:space="preserve">. 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 xml:space="preserve">Análisis estructural de los mensajes. El análisis de </w:t>
      </w:r>
      <w:proofErr w:type="spellStart"/>
      <w:r>
        <w:t>Violette</w:t>
      </w:r>
      <w:proofErr w:type="spellEnd"/>
      <w:r>
        <w:t xml:space="preserve"> </w:t>
      </w:r>
      <w:proofErr w:type="spellStart"/>
      <w:r>
        <w:t>Morin</w:t>
      </w:r>
      <w:proofErr w:type="spellEnd"/>
      <w:r>
        <w:t>. -</w:t>
      </w:r>
      <w:r>
        <w:rPr>
          <w:rFonts w:ascii="Arial" w:eastAsia="Arial" w:hAnsi="Arial" w:cs="Arial"/>
        </w:rPr>
        <w:t xml:space="preserve">  </w:t>
      </w:r>
      <w:r>
        <w:t xml:space="preserve">Semántica estructural de </w:t>
      </w:r>
      <w:proofErr w:type="spellStart"/>
      <w:r>
        <w:t>Greimas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Bibliografía obligatoria: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Dallera</w:t>
      </w:r>
      <w:proofErr w:type="spellEnd"/>
      <w:r>
        <w:t xml:space="preserve">, O. (2012). “La teoría semiológica de </w:t>
      </w:r>
      <w:proofErr w:type="spellStart"/>
      <w:r>
        <w:t>Greimas</w:t>
      </w:r>
      <w:proofErr w:type="spellEnd"/>
      <w:r>
        <w:t xml:space="preserve">” en V. </w:t>
      </w:r>
      <w:proofErr w:type="spellStart"/>
      <w:r>
        <w:t>Zecchetto</w:t>
      </w:r>
      <w:proofErr w:type="spellEnd"/>
      <w:r>
        <w:t xml:space="preserve">, (coordinador). </w:t>
      </w:r>
      <w:r>
        <w:rPr>
          <w:i/>
        </w:rPr>
        <w:t>Seis semiólogos en busca del lector.</w:t>
      </w:r>
      <w:r>
        <w:t xml:space="preserve"> Ed. </w:t>
      </w:r>
      <w:proofErr w:type="spellStart"/>
      <w:r>
        <w:t>Ciccus</w:t>
      </w:r>
      <w:proofErr w:type="spellEnd"/>
      <w:r>
        <w:t xml:space="preserve"> –La Crujía.  </w:t>
      </w:r>
      <w:r>
        <w:t xml:space="preserve"> </w:t>
      </w:r>
    </w:p>
    <w:p w:rsidR="00A13501" w:rsidRDefault="00F7583C">
      <w:pPr>
        <w:ind w:right="0"/>
      </w:pPr>
      <w:proofErr w:type="spellStart"/>
      <w:r>
        <w:t>Propp</w:t>
      </w:r>
      <w:proofErr w:type="spellEnd"/>
      <w:r>
        <w:t xml:space="preserve">, V. (2007). </w:t>
      </w:r>
      <w:r>
        <w:rPr>
          <w:i/>
        </w:rPr>
        <w:t>Morfología del cuento</w:t>
      </w:r>
      <w:r>
        <w:t xml:space="preserve">. </w:t>
      </w:r>
      <w:proofErr w:type="spellStart"/>
      <w:r>
        <w:t>Akal</w:t>
      </w:r>
      <w:proofErr w:type="spellEnd"/>
      <w:r>
        <w:t xml:space="preserve">. (Introducción, Cap. 2, 3, 5, 6, 7, 8 y 9 y Ficha) </w:t>
      </w:r>
      <w:r>
        <w:t xml:space="preserve"> </w:t>
      </w:r>
    </w:p>
    <w:p w:rsidR="00A13501" w:rsidRDefault="00F7583C">
      <w:pPr>
        <w:ind w:right="0"/>
      </w:pPr>
      <w:proofErr w:type="spellStart"/>
      <w:r>
        <w:t>Morin</w:t>
      </w:r>
      <w:proofErr w:type="spellEnd"/>
      <w:r>
        <w:t xml:space="preserve">, V. (1974). </w:t>
      </w:r>
      <w:r>
        <w:rPr>
          <w:i/>
        </w:rPr>
        <w:t>Tratamiento periodístico de la información.</w:t>
      </w:r>
      <w:r>
        <w:t xml:space="preserve"> ATE (Introducción. Partes 1, 2 y 3)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1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3354"/>
        <w:jc w:val="left"/>
      </w:pPr>
      <w:r>
        <w:rPr>
          <w:b/>
        </w:rPr>
        <w:t xml:space="preserve">Unidad 4: Análisis del discurso y análisis crítico del discurso </w:t>
      </w:r>
      <w:r>
        <w:t>-</w:t>
      </w:r>
      <w:r>
        <w:rPr>
          <w:rFonts w:ascii="Arial" w:eastAsia="Arial" w:hAnsi="Arial" w:cs="Arial"/>
        </w:rPr>
        <w:t xml:space="preserve">  </w:t>
      </w:r>
      <w:r>
        <w:t xml:space="preserve">Noción de discurso. 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7"/>
        <w:ind w:right="0" w:hanging="365"/>
      </w:pPr>
      <w:r>
        <w:t xml:space="preserve">Objeto del Análisis del Discurso (AD).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32"/>
        <w:ind w:right="0" w:hanging="365"/>
      </w:pPr>
      <w:r>
        <w:t xml:space="preserve">La escuela francesa y la teoría de la enunciación. 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26"/>
        <w:ind w:right="0" w:hanging="365"/>
      </w:pPr>
      <w:r>
        <w:t xml:space="preserve">El Análisis Crítico del Discurso (ACD). Objeto, funciones y desarrollo. </w:t>
      </w:r>
      <w:r>
        <w:t xml:space="preserve"> </w:t>
      </w:r>
    </w:p>
    <w:p w:rsidR="00A13501" w:rsidRDefault="00F7583C">
      <w:pPr>
        <w:numPr>
          <w:ilvl w:val="0"/>
          <w:numId w:val="2"/>
        </w:numPr>
        <w:spacing w:after="32"/>
        <w:ind w:right="0" w:hanging="365"/>
      </w:pPr>
      <w:r>
        <w:t xml:space="preserve">El ACD como metodología de investigación.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>Sociedad, discurso y poder. Estrategias dis</w:t>
      </w:r>
      <w:r>
        <w:t xml:space="preserve">cursivas del control.  </w:t>
      </w:r>
      <w:r>
        <w:t xml:space="preserve"> </w:t>
      </w:r>
    </w:p>
    <w:p w:rsidR="00A13501" w:rsidRDefault="00F7583C">
      <w:pPr>
        <w:numPr>
          <w:ilvl w:val="0"/>
          <w:numId w:val="2"/>
        </w:numPr>
        <w:ind w:right="0" w:hanging="365"/>
      </w:pPr>
      <w:r>
        <w:t xml:space="preserve">Casos de estudio. Discurso, racismo, e inmigración. Discurso y desigualdades de género, clase, orientación sexual. 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Bibliografía obligatoria: </w:t>
      </w:r>
      <w:r>
        <w:t xml:space="preserve"> </w:t>
      </w:r>
    </w:p>
    <w:p w:rsidR="00A13501" w:rsidRDefault="00F7583C">
      <w:pPr>
        <w:ind w:right="0"/>
      </w:pPr>
      <w:r>
        <w:t xml:space="preserve">Benveniste, E. (1958). De la subjetividad en el lenguaje. </w:t>
      </w:r>
      <w:proofErr w:type="spellStart"/>
      <w:r>
        <w:rPr>
          <w:i/>
        </w:rPr>
        <w:t>Journal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Psychologie</w:t>
      </w:r>
      <w:proofErr w:type="spellEnd"/>
      <w:r>
        <w:t xml:space="preserve">, julio-sept. P.U.F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Benveniste, E. (1970). </w:t>
      </w:r>
      <w:r>
        <w:rPr>
          <w:i/>
        </w:rPr>
        <w:t>El aparato formal de la enunciación</w:t>
      </w:r>
      <w:r>
        <w:t xml:space="preserve">. </w:t>
      </w:r>
      <w:proofErr w:type="spellStart"/>
      <w:r>
        <w:t>Languages</w:t>
      </w:r>
      <w:proofErr w:type="spellEnd"/>
      <w:r>
        <w:t xml:space="preserve">, París, Didier-Larousse, año 5, núm. 17, pp. 12-18.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Calsamiglia</w:t>
      </w:r>
      <w:proofErr w:type="spellEnd"/>
      <w:r>
        <w:t xml:space="preserve">, H. y Tusón Valls, A. (2001). </w:t>
      </w:r>
      <w:r>
        <w:rPr>
          <w:i/>
        </w:rPr>
        <w:t>Las cosas del decir. Manual de análisis del discurso</w:t>
      </w:r>
      <w:r>
        <w:t>. Ariel. (Cap. 1</w:t>
      </w:r>
      <w:r>
        <w:t xml:space="preserve">, 4 y 5)  </w:t>
      </w:r>
      <w:r>
        <w:t xml:space="preserve"> </w:t>
      </w:r>
    </w:p>
    <w:p w:rsidR="00A13501" w:rsidRDefault="00F7583C">
      <w:pPr>
        <w:ind w:right="0"/>
      </w:pPr>
      <w:proofErr w:type="spellStart"/>
      <w:r>
        <w:t>Filinich</w:t>
      </w:r>
      <w:proofErr w:type="spellEnd"/>
      <w:r>
        <w:t xml:space="preserve">, M. (2002). </w:t>
      </w:r>
      <w:r>
        <w:rPr>
          <w:i/>
        </w:rPr>
        <w:t>Enunciación</w:t>
      </w:r>
      <w:r>
        <w:t xml:space="preserve">. </w:t>
      </w:r>
      <w:proofErr w:type="spellStart"/>
      <w:r>
        <w:t>Eudeba</w:t>
      </w:r>
      <w:proofErr w:type="spellEnd"/>
      <w:r>
        <w:t xml:space="preserve">. (Cap. 2. El sujeto de la enunciación)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Jäguer</w:t>
      </w:r>
      <w:proofErr w:type="spellEnd"/>
      <w:r>
        <w:t xml:space="preserve">, S. (2003). “Discurso y conocimiento: aspectos teóricos y metodológicos de la crítica del discurso y del análisis de dispositivos” en R. </w:t>
      </w:r>
      <w:proofErr w:type="spellStart"/>
      <w:r>
        <w:t>Wodak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Meyer, M. (2003). “Entre la teoría, el método y la política: la ubicación de los enfoques relacionados con el ACD” en R. </w:t>
      </w:r>
      <w:proofErr w:type="spellStart"/>
      <w:r>
        <w:t>Wodak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spacing w:after="3" w:line="252" w:lineRule="auto"/>
        <w:ind w:left="706" w:right="0" w:hanging="721"/>
        <w:jc w:val="left"/>
      </w:pPr>
      <w:proofErr w:type="spellStart"/>
      <w:r>
        <w:t>Palleiro</w:t>
      </w:r>
      <w:proofErr w:type="spellEnd"/>
      <w:r>
        <w:t>, M. I. (2008) (</w:t>
      </w:r>
      <w:proofErr w:type="spellStart"/>
      <w:r>
        <w:t>comp.</w:t>
      </w:r>
      <w:proofErr w:type="spellEnd"/>
      <w:r>
        <w:t xml:space="preserve">). </w:t>
      </w:r>
      <w:r>
        <w:rPr>
          <w:i/>
        </w:rPr>
        <w:t>Formas del discurso: de la teoría de los signos a las prácticas comunicativas</w:t>
      </w:r>
      <w:r>
        <w:t xml:space="preserve">. Miño y Dávila. (Cap. 2, 4 y 5)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Van </w:t>
      </w:r>
      <w:proofErr w:type="spellStart"/>
      <w:r>
        <w:t>Dijk</w:t>
      </w:r>
      <w:proofErr w:type="spellEnd"/>
      <w:r>
        <w:t xml:space="preserve">, T. A. (2003). “La </w:t>
      </w:r>
      <w:proofErr w:type="spellStart"/>
      <w:r>
        <w:t>multidisciplinariedad</w:t>
      </w:r>
      <w:proofErr w:type="spellEnd"/>
      <w:r>
        <w:t xml:space="preserve"> del análisis crítico del discurso: un alegato en favor de la diversidad” en R. </w:t>
      </w:r>
      <w:proofErr w:type="spellStart"/>
      <w:r>
        <w:t>Wodak</w:t>
      </w:r>
      <w:proofErr w:type="spellEnd"/>
      <w:r>
        <w:t xml:space="preserve"> y M. Meyer. </w:t>
      </w:r>
      <w:r>
        <w:rPr>
          <w:i/>
        </w:rPr>
        <w:t>Métodos de Análisis Crítico del Discurso</w:t>
      </w:r>
      <w:r>
        <w:t xml:space="preserve">. (2003) </w:t>
      </w:r>
      <w:proofErr w:type="spellStart"/>
      <w:r>
        <w:t>Gedisa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ind w:right="0"/>
      </w:pPr>
      <w:r>
        <w:t xml:space="preserve">Van </w:t>
      </w:r>
      <w:proofErr w:type="spellStart"/>
      <w:r>
        <w:t>Dijk</w:t>
      </w:r>
      <w:proofErr w:type="spellEnd"/>
      <w:r>
        <w:t xml:space="preserve">, T. A. (2003). </w:t>
      </w:r>
      <w:r>
        <w:rPr>
          <w:i/>
        </w:rPr>
        <w:t xml:space="preserve">Racismo y discurso de las </w:t>
      </w:r>
      <w:r>
        <w:rPr>
          <w:i/>
        </w:rPr>
        <w:t>élites</w:t>
      </w:r>
      <w:r>
        <w:t xml:space="preserve">. </w:t>
      </w:r>
      <w:proofErr w:type="spellStart"/>
      <w:r>
        <w:t>Gedisa</w:t>
      </w:r>
      <w:proofErr w:type="spellEnd"/>
      <w:r>
        <w:t xml:space="preserve">. (Prefacios, Introducción, Discurso mediático) Verón, E. (1996). La </w:t>
      </w:r>
      <w:proofErr w:type="spellStart"/>
      <w:r>
        <w:t>semiosis</w:t>
      </w:r>
      <w:proofErr w:type="spellEnd"/>
      <w:r>
        <w:t xml:space="preserve"> social: fragmentos de una teoría de la </w:t>
      </w:r>
      <w:proofErr w:type="spellStart"/>
      <w:r>
        <w:t>discursividad</w:t>
      </w:r>
      <w:proofErr w:type="spellEnd"/>
      <w:r>
        <w:t xml:space="preserve">. </w:t>
      </w:r>
      <w:proofErr w:type="spellStart"/>
      <w:r>
        <w:t>Gedisa</w:t>
      </w:r>
      <w:proofErr w:type="spellEnd"/>
      <w:r>
        <w:t xml:space="preserve">. (Segunda Parte. Cap. </w:t>
      </w:r>
      <w:r>
        <w:t xml:space="preserve"> </w:t>
      </w:r>
    </w:p>
    <w:p w:rsidR="00A13501" w:rsidRDefault="00F7583C">
      <w:pPr>
        <w:ind w:left="751" w:right="0"/>
      </w:pPr>
      <w:r>
        <w:t xml:space="preserve">5. El sentido como producción discursiva).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Unidad 5: 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Análisis del discurso periodístico televisivo </w:t>
      </w:r>
      <w:r>
        <w:t xml:space="preserve"> </w:t>
      </w:r>
    </w:p>
    <w:p w:rsidR="00A13501" w:rsidRDefault="00F7583C">
      <w:pPr>
        <w:numPr>
          <w:ilvl w:val="0"/>
          <w:numId w:val="3"/>
        </w:numPr>
        <w:ind w:right="0" w:hanging="365"/>
      </w:pPr>
      <w:r>
        <w:t xml:space="preserve">La televisión como modeladora de la imagen del mundo.  </w:t>
      </w:r>
      <w:r>
        <w:t xml:space="preserve"> </w:t>
      </w:r>
    </w:p>
    <w:p w:rsidR="00A13501" w:rsidRDefault="00F7583C">
      <w:pPr>
        <w:numPr>
          <w:ilvl w:val="0"/>
          <w:numId w:val="3"/>
        </w:numPr>
        <w:spacing w:after="28"/>
        <w:ind w:right="0" w:hanging="365"/>
      </w:pPr>
      <w:r>
        <w:t xml:space="preserve">La manipulación en televisión; análisis de las diversas operaciones y grados de manipulación en noticieros y programas de opinión.  </w:t>
      </w:r>
      <w:r>
        <w:t xml:space="preserve"> </w:t>
      </w:r>
    </w:p>
    <w:p w:rsidR="00A13501" w:rsidRDefault="00F7583C">
      <w:pPr>
        <w:numPr>
          <w:ilvl w:val="0"/>
          <w:numId w:val="3"/>
        </w:numPr>
        <w:ind w:right="0" w:hanging="365"/>
      </w:pPr>
      <w:r>
        <w:t>Características d</w:t>
      </w:r>
      <w:r>
        <w:t xml:space="preserve">e los discursos informativos en televisión. </w:t>
      </w:r>
      <w:r>
        <w:t xml:space="preserve"> </w:t>
      </w:r>
    </w:p>
    <w:p w:rsidR="00A13501" w:rsidRDefault="00F7583C">
      <w:pPr>
        <w:numPr>
          <w:ilvl w:val="1"/>
          <w:numId w:val="3"/>
        </w:numPr>
        <w:ind w:right="0" w:firstLine="720"/>
      </w:pPr>
      <w:r>
        <w:lastRenderedPageBreak/>
        <w:t xml:space="preserve">La importancia de lo visual. Las técnicas de presentación. La lógica de la imagen móvil. </w:t>
      </w:r>
      <w:r>
        <w:t xml:space="preserve"> </w:t>
      </w:r>
      <w:r>
        <w:t xml:space="preserve">La recreación de acontecimientos y la escenificación de las noticias para el consumo de la televisión. Los </w:t>
      </w:r>
      <w:proofErr w:type="spellStart"/>
      <w:r>
        <w:t>pseudoacontec</w:t>
      </w:r>
      <w:r>
        <w:t>imientos</w:t>
      </w:r>
      <w:proofErr w:type="spellEnd"/>
      <w:r>
        <w:t xml:space="preserve">.  </w:t>
      </w:r>
      <w:r>
        <w:t xml:space="preserve"> </w:t>
      </w:r>
    </w:p>
    <w:p w:rsidR="00A13501" w:rsidRDefault="00F7583C">
      <w:pPr>
        <w:numPr>
          <w:ilvl w:val="1"/>
          <w:numId w:val="3"/>
        </w:numPr>
        <w:spacing w:after="32"/>
        <w:ind w:right="0" w:firstLine="720"/>
      </w:pPr>
      <w:r>
        <w:t xml:space="preserve">El culto a la personalidad. </w:t>
      </w:r>
      <w:r>
        <w:t xml:space="preserve"> </w:t>
      </w:r>
    </w:p>
    <w:p w:rsidR="00A13501" w:rsidRDefault="00F7583C">
      <w:pPr>
        <w:numPr>
          <w:ilvl w:val="1"/>
          <w:numId w:val="3"/>
        </w:numPr>
        <w:spacing w:after="53" w:line="259" w:lineRule="auto"/>
        <w:ind w:right="0" w:firstLine="720"/>
      </w:pPr>
      <w:r>
        <w:t xml:space="preserve">Las noticias como espectáculo. El sensacionalismo. - </w:t>
      </w:r>
      <w:r>
        <w:t xml:space="preserve"> </w:t>
      </w:r>
      <w:r>
        <w:tab/>
      </w:r>
      <w:r>
        <w:t xml:space="preserve">El criterio de significación.  </w:t>
      </w:r>
      <w:r>
        <w:t xml:space="preserve"> </w:t>
      </w:r>
    </w:p>
    <w:p w:rsidR="00A13501" w:rsidRDefault="00F7583C">
      <w:pPr>
        <w:numPr>
          <w:ilvl w:val="0"/>
          <w:numId w:val="3"/>
        </w:numPr>
        <w:spacing w:after="27"/>
        <w:ind w:right="0" w:hanging="365"/>
      </w:pPr>
      <w:r>
        <w:t>El discurso audiovisual en la “</w:t>
      </w:r>
      <w:proofErr w:type="spellStart"/>
      <w:r>
        <w:t>neotelevisión</w:t>
      </w:r>
      <w:proofErr w:type="spellEnd"/>
      <w:r>
        <w:t>” y en la “</w:t>
      </w:r>
      <w:proofErr w:type="spellStart"/>
      <w:r>
        <w:t>hipertelevisión</w:t>
      </w:r>
      <w:proofErr w:type="spellEnd"/>
      <w:r>
        <w:t xml:space="preserve">” - </w:t>
      </w:r>
      <w:r>
        <w:t xml:space="preserve"> </w:t>
      </w:r>
      <w:r>
        <w:tab/>
      </w:r>
      <w:r>
        <w:t xml:space="preserve">El noticiero actual. Su análisis. </w:t>
      </w:r>
      <w:r>
        <w:t xml:space="preserve"> </w:t>
      </w:r>
    </w:p>
    <w:p w:rsidR="00A13501" w:rsidRDefault="00F7583C">
      <w:pPr>
        <w:numPr>
          <w:ilvl w:val="0"/>
          <w:numId w:val="3"/>
        </w:numPr>
        <w:spacing w:after="32"/>
        <w:ind w:right="0" w:hanging="365"/>
      </w:pPr>
      <w:r>
        <w:t>Los códigos y</w:t>
      </w:r>
      <w:r>
        <w:t xml:space="preserve"> </w:t>
      </w:r>
      <w:proofErr w:type="spellStart"/>
      <w:r>
        <w:t>subcódigos</w:t>
      </w:r>
      <w:proofErr w:type="spellEnd"/>
      <w:r>
        <w:t xml:space="preserve"> del mensaje televisado. Relación entre imagen y palabra en televisión. </w:t>
      </w:r>
      <w:r>
        <w:t xml:space="preserve"> </w:t>
      </w:r>
    </w:p>
    <w:p w:rsidR="00A13501" w:rsidRDefault="00F7583C">
      <w:pPr>
        <w:numPr>
          <w:ilvl w:val="0"/>
          <w:numId w:val="3"/>
        </w:numPr>
        <w:ind w:right="0" w:hanging="365"/>
      </w:pPr>
      <w:r>
        <w:t xml:space="preserve">Análisis de formatos, características y contenidos de distintos discursos periodísticos en televisión.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 xml:space="preserve">Bibliografía Obligatoria: </w:t>
      </w:r>
      <w:r>
        <w:t xml:space="preserve"> </w:t>
      </w:r>
    </w:p>
    <w:p w:rsidR="00A13501" w:rsidRDefault="00F7583C">
      <w:pPr>
        <w:ind w:left="741" w:right="0" w:hanging="741"/>
      </w:pPr>
      <w:r>
        <w:t xml:space="preserve">Casado Ruiz, A. (2020) Nuevas narrativas audiovisuales para la información política en televisión. En M. </w:t>
      </w:r>
      <w:r>
        <w:t xml:space="preserve"> </w:t>
      </w:r>
      <w:r>
        <w:t xml:space="preserve">Francés (Pdte.) (2020). </w:t>
      </w:r>
      <w:r>
        <w:rPr>
          <w:i/>
        </w:rPr>
        <w:t>Comunicación y Diversidad.</w:t>
      </w:r>
      <w:r>
        <w:t xml:space="preserve"> Libro de comunicaciones del VII Congreso </w:t>
      </w:r>
      <w:r>
        <w:t xml:space="preserve"> </w:t>
      </w:r>
    </w:p>
    <w:p w:rsidR="00A13501" w:rsidRDefault="00F7583C">
      <w:pPr>
        <w:spacing w:after="0" w:line="259" w:lineRule="auto"/>
        <w:ind w:left="150" w:right="0" w:firstLine="0"/>
        <w:jc w:val="center"/>
      </w:pPr>
      <w:r>
        <w:t>Internacional de la Asociación Española de Investigación</w:t>
      </w:r>
      <w:r>
        <w:t xml:space="preserve"> de la Comunicación. (Pág. 2512-2532) </w:t>
      </w:r>
      <w:r>
        <w:t xml:space="preserve"> </w:t>
      </w:r>
    </w:p>
    <w:p w:rsidR="00A13501" w:rsidRDefault="00F7583C">
      <w:pPr>
        <w:ind w:right="0"/>
      </w:pPr>
      <w:proofErr w:type="spellStart"/>
      <w:r>
        <w:t>Chion</w:t>
      </w:r>
      <w:proofErr w:type="spellEnd"/>
      <w:r>
        <w:t xml:space="preserve">, M. (1993). </w:t>
      </w:r>
      <w:proofErr w:type="gramStart"/>
      <w:r>
        <w:rPr>
          <w:i/>
        </w:rPr>
        <w:t>La audiovisión</w:t>
      </w:r>
      <w:proofErr w:type="gramEnd"/>
      <w:r>
        <w:rPr>
          <w:i/>
        </w:rPr>
        <w:t>.</w:t>
      </w:r>
      <w:r>
        <w:t xml:space="preserve"> Paidós. (Introducción, Cap. 1)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Eco, U. (1994). </w:t>
      </w:r>
      <w:r>
        <w:rPr>
          <w:i/>
        </w:rPr>
        <w:t>La estrategia de la ilusión.</w:t>
      </w:r>
      <w:r>
        <w:t xml:space="preserve"> Ediciones de la Flor. (Cap. “El televidente” y “TV. La transparencia perdida”)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Eco, U. (1969). Para una indagación semiológica sobre el mensaje televisivo (En AA.VV. </w:t>
      </w:r>
      <w:r>
        <w:rPr>
          <w:i/>
        </w:rPr>
        <w:t>Los efectos de las comunicaciones de masas.</w:t>
      </w:r>
      <w:r>
        <w:t xml:space="preserve"> Jorge </w:t>
      </w:r>
      <w:proofErr w:type="spellStart"/>
      <w:r>
        <w:t>Alvarez</w:t>
      </w:r>
      <w:proofErr w:type="spellEnd"/>
      <w:r>
        <w:t xml:space="preserve">)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González Requena, J. (1989). </w:t>
      </w:r>
      <w:r>
        <w:rPr>
          <w:i/>
        </w:rPr>
        <w:t>El espectáculo informativo o la amenaza de lo real</w:t>
      </w:r>
      <w:r>
        <w:t xml:space="preserve">. </w:t>
      </w:r>
      <w:proofErr w:type="spellStart"/>
      <w:r>
        <w:t>Akal</w:t>
      </w:r>
      <w:proofErr w:type="spellEnd"/>
      <w:r>
        <w:t xml:space="preserve">. (Cap. 9. Información </w:t>
      </w:r>
      <w:r>
        <w:t xml:space="preserve">verbal / Información visual) </w:t>
      </w:r>
      <w:r>
        <w:t xml:space="preserve"> </w:t>
      </w:r>
    </w:p>
    <w:p w:rsidR="00A13501" w:rsidRDefault="00F7583C">
      <w:pPr>
        <w:ind w:right="0"/>
      </w:pPr>
      <w:proofErr w:type="spellStart"/>
      <w:r>
        <w:t>Landi</w:t>
      </w:r>
      <w:proofErr w:type="spellEnd"/>
      <w:r>
        <w:t xml:space="preserve">, O. (1992). </w:t>
      </w:r>
      <w:r>
        <w:rPr>
          <w:i/>
        </w:rPr>
        <w:t>Devórame otra vez</w:t>
      </w:r>
      <w:r>
        <w:t xml:space="preserve">. Planeta. (Cap. El lenguaje de la TV Pág. 90 a 97)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Martínez Albertos, J. L. (1993) </w:t>
      </w:r>
      <w:r>
        <w:rPr>
          <w:i/>
        </w:rPr>
        <w:t>Curso General de Redacción Periodística.</w:t>
      </w:r>
      <w:r>
        <w:t xml:space="preserve"> Mitre. (Cap. 22, Cap. 24. Punto A 1, 2 y 3)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Mellet</w:t>
      </w:r>
      <w:proofErr w:type="spellEnd"/>
      <w:r>
        <w:t xml:space="preserve">, P. “Cómo </w:t>
      </w:r>
      <w:r>
        <w:t xml:space="preserve">la estructura ritual del noticiero de televisión formatea nuestras mentes” en Voltairenet.org </w:t>
      </w:r>
      <w:hyperlink r:id="rId8">
        <w:r>
          <w:rPr>
            <w:color w:val="0000FF"/>
            <w:u w:val="single" w:color="0000FF"/>
          </w:rPr>
          <w:t>http://www.voltairenet.org/article151749.htm</w:t>
        </w:r>
      </w:hyperlink>
      <w:hyperlink r:id="rId9">
        <w:r>
          <w:rPr>
            <w:color w:val="0000FF"/>
            <w:u w:val="single" w:color="0000FF"/>
          </w:rPr>
          <w:t>l</w:t>
        </w:r>
      </w:hyperlink>
      <w:hyperlink r:id="rId10">
        <w:r>
          <w:t xml:space="preserve">  </w:t>
        </w:r>
      </w:hyperlink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Piccini</w:t>
      </w:r>
      <w:proofErr w:type="spellEnd"/>
      <w:r>
        <w:t xml:space="preserve">, F. (2019). El telediario de la </w:t>
      </w:r>
      <w:proofErr w:type="spellStart"/>
      <w:r>
        <w:t>hipertelevisión</w:t>
      </w:r>
      <w:proofErr w:type="spellEnd"/>
      <w:r>
        <w:t xml:space="preserve">. En C. Tejedor (director) </w:t>
      </w:r>
      <w:r>
        <w:rPr>
          <w:i/>
        </w:rPr>
        <w:t>Herramientas digitales para comunicadores.</w:t>
      </w:r>
      <w:r>
        <w:t xml:space="preserve"> </w:t>
      </w:r>
      <w:proofErr w:type="spellStart"/>
      <w:r>
        <w:t>Universitat</w:t>
      </w:r>
      <w:proofErr w:type="spellEnd"/>
      <w:r>
        <w:t xml:space="preserve"> </w:t>
      </w:r>
      <w:proofErr w:type="spellStart"/>
      <w:r>
        <w:t>Autònoma</w:t>
      </w:r>
      <w:proofErr w:type="spellEnd"/>
      <w:r>
        <w:t xml:space="preserve"> de Barcelona. (Págs. 89 a 94</w:t>
      </w:r>
      <w:r>
        <w:t xml:space="preserve">) </w:t>
      </w:r>
      <w:r>
        <w:t xml:space="preserve"> </w:t>
      </w:r>
    </w:p>
    <w:p w:rsidR="00A13501" w:rsidRDefault="00F7583C">
      <w:pPr>
        <w:ind w:left="721" w:right="0" w:hanging="721"/>
      </w:pPr>
      <w:r>
        <w:t>Verón, E. (1983) Está allí, lo veo, me habla. (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, je le </w:t>
      </w:r>
      <w:proofErr w:type="spellStart"/>
      <w:r>
        <w:t>vois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me parle) en </w:t>
      </w:r>
      <w:proofErr w:type="spellStart"/>
      <w:r>
        <w:rPr>
          <w:i/>
        </w:rPr>
        <w:t>Communications</w:t>
      </w:r>
      <w:proofErr w:type="spellEnd"/>
      <w:r>
        <w:t xml:space="preserve"> N°38 “</w:t>
      </w:r>
      <w:proofErr w:type="spellStart"/>
      <w:r>
        <w:t>Enonciation</w:t>
      </w:r>
      <w:proofErr w:type="spellEnd"/>
      <w:r>
        <w:t xml:space="preserve"> et </w:t>
      </w:r>
      <w:proofErr w:type="spellStart"/>
      <w:r>
        <w:t>cinéma</w:t>
      </w:r>
      <w:proofErr w:type="spellEnd"/>
      <w:r>
        <w:t xml:space="preserve">”, Paris. </w:t>
      </w:r>
      <w:r>
        <w:t xml:space="preserve"> </w:t>
      </w:r>
    </w:p>
    <w:p w:rsidR="00A13501" w:rsidRDefault="00F7583C">
      <w:pPr>
        <w:ind w:left="721" w:right="0" w:hanging="721"/>
      </w:pPr>
      <w:r>
        <w:t xml:space="preserve">Vilches, L. (1989) Manipulación de la información televisiva. Paidós. (Cap.1. Pág. 21 a 32 y Cap. 5. Punto 5.1. </w:t>
      </w:r>
      <w:r>
        <w:t xml:space="preserve">En el principio era la voz)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5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4"/>
        </w:numPr>
        <w:spacing w:after="3" w:line="261" w:lineRule="auto"/>
        <w:ind w:right="0" w:hanging="726"/>
        <w:jc w:val="left"/>
      </w:pPr>
      <w:r>
        <w:rPr>
          <w:b/>
        </w:rPr>
        <w:t xml:space="preserve">METODOLOGÍA:  </w:t>
      </w:r>
      <w:r>
        <w:t xml:space="preserve"> </w:t>
      </w:r>
    </w:p>
    <w:p w:rsidR="00A13501" w:rsidRDefault="00F7583C">
      <w:pPr>
        <w:ind w:left="390" w:right="0"/>
      </w:pPr>
      <w:r>
        <w:t xml:space="preserve">Se adopta para el curso una metodología de clase teórico-práctica. </w:t>
      </w:r>
      <w:r>
        <w:t xml:space="preserve"> </w:t>
      </w:r>
    </w:p>
    <w:p w:rsidR="00A13501" w:rsidRDefault="00F7583C">
      <w:pPr>
        <w:ind w:left="390" w:right="178"/>
      </w:pPr>
      <w:r>
        <w:t>En la clase, se presentan los temas de la materia, explicando los conceptos y sus relaciones. Se analizan textos teóricos y se observan videos que ilustran las cuestiones (series, films, conferencias, publicidades, etc.).  También se realizan trabajos prác</w:t>
      </w:r>
      <w:r>
        <w:t>ticos.</w:t>
      </w:r>
      <w:r>
        <w:t xml:space="preserve"> </w:t>
      </w:r>
    </w:p>
    <w:p w:rsidR="00A13501" w:rsidRDefault="00F7583C">
      <w:pPr>
        <w:ind w:left="390" w:right="0"/>
      </w:pPr>
      <w:r>
        <w:t xml:space="preserve">Luego el alumno trabaja y aplica lo expuesto en la clase para hacer una apropiación de los saberes.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4"/>
        </w:numPr>
        <w:spacing w:after="3" w:line="261" w:lineRule="auto"/>
        <w:ind w:right="0" w:hanging="726"/>
        <w:jc w:val="left"/>
      </w:pPr>
      <w:r>
        <w:rPr>
          <w:b/>
        </w:rPr>
        <w:t xml:space="preserve">DETALLE DE ACTIVIDADES DE FORMACIÓN PRÁCTICA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  <w:sz w:val="24"/>
        </w:rPr>
        <w:t xml:space="preserve"> </w:t>
      </w:r>
      <w:r>
        <w:t xml:space="preserve"> </w:t>
      </w:r>
    </w:p>
    <w:p w:rsidR="00A13501" w:rsidRDefault="00F7583C">
      <w:pPr>
        <w:pStyle w:val="Ttulo1"/>
        <w:ind w:left="-5"/>
      </w:pPr>
      <w:r>
        <w:t>Unidad I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Registro de identificación y expediente de identidad </w:t>
      </w:r>
      <w:r>
        <w:t>(Actividad obligatoria)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57"/>
        <w:ind w:right="0"/>
      </w:pPr>
      <w:r>
        <w:rPr>
          <w:b/>
        </w:rPr>
        <w:t>Consigna</w:t>
      </w:r>
      <w:r>
        <w:t xml:space="preserve">: Completar el registro de identificación y el expediente de identidad del diario objeto del estudio a partir de la propuesta de </w:t>
      </w:r>
      <w:proofErr w:type="spellStart"/>
      <w:r>
        <w:t>Kayser</w:t>
      </w:r>
      <w:proofErr w:type="spellEnd"/>
      <w:r>
        <w:t xml:space="preserve">.  </w:t>
      </w:r>
      <w:r>
        <w:t xml:space="preserve"> </w:t>
      </w: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left="736" w:right="262" w:hanging="361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4519867</wp:posOffset>
            </wp:positionH>
            <wp:positionV relativeFrom="paragraph">
              <wp:posOffset>-55265</wp:posOffset>
            </wp:positionV>
            <wp:extent cx="177800" cy="184150"/>
            <wp:effectExtent l="0" t="0" r="0" b="0"/>
            <wp:wrapNone/>
            <wp:docPr id="1162" name="Picture 1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" name="Picture 116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</w:rPr>
        <w:t xml:space="preserve">• </w:t>
      </w:r>
      <w:r>
        <w:rPr>
          <w:rFonts w:ascii="Arial" w:eastAsia="Arial" w:hAnsi="Arial" w:cs="Arial"/>
        </w:rPr>
        <w:tab/>
      </w:r>
      <w:r>
        <w:t>Conozcan y comprendan las características de la p</w:t>
      </w:r>
      <w:r>
        <w:t xml:space="preserve">rensa en nuestro país. </w:t>
      </w:r>
      <w:proofErr w:type="gramStart"/>
      <w:r>
        <w:rPr>
          <w:rFonts w:ascii="Calibri" w:eastAsia="Calibri" w:hAnsi="Calibri" w:cs="Calibri"/>
        </w:rPr>
        <w:t>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proofErr w:type="gramEnd"/>
      <w:r>
        <w:t xml:space="preserve">Aprendan a utilizar fuentes de datos fiables.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 xml:space="preserve">: Precisión de los datos aportados.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valoración de las noticias en diarios </w:t>
      </w:r>
      <w:r>
        <w:t>(Actividad obligatoria)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Consigna</w:t>
      </w:r>
      <w:r>
        <w:t xml:space="preserve">: Realizar el estudio de la valoración de las noticias referidas a los temas elegidos. Utilizar para la valoración los factores adaptados de la propuesta de </w:t>
      </w:r>
      <w:proofErr w:type="spellStart"/>
      <w:r>
        <w:t>Kayser</w:t>
      </w:r>
      <w:proofErr w:type="spellEnd"/>
      <w:r>
        <w:t xml:space="preserve">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Objetivo: </w:t>
      </w:r>
      <w:r>
        <w:t>Que los alumnos aprendan a definir la import</w:t>
      </w:r>
      <w:r>
        <w:t xml:space="preserve">ancia de una noticia a partir de criterios objetivos y comparables.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 xml:space="preserve">: Adecuada recolección de datos y precisión de los resultados. </w:t>
      </w:r>
      <w:r>
        <w:t xml:space="preserve"> </w:t>
      </w:r>
    </w:p>
    <w:p w:rsidR="00A13501" w:rsidRDefault="00F7583C">
      <w:pPr>
        <w:spacing w:after="1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pStyle w:val="Ttulo1"/>
        <w:ind w:left="-5"/>
      </w:pPr>
      <w:r>
        <w:t>Unidad 2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Proyecto de Análisis de Contenido </w:t>
      </w:r>
      <w:r>
        <w:t>(Actividad obligatoria)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line="245" w:lineRule="auto"/>
        <w:ind w:right="24"/>
        <w:jc w:val="left"/>
      </w:pPr>
      <w:r>
        <w:rPr>
          <w:b/>
        </w:rPr>
        <w:t>Consigna</w:t>
      </w:r>
      <w:r>
        <w:t xml:space="preserve">: Diseñar un proyecto de investigación sobre algún tema de interés, usando como técnica el análisis de contenido. Este debe ser de tipo: descriptivo o explicativo; primario; horizontal, transversal o longitudinal; y cuantitativo El universo a emplear debe </w:t>
      </w:r>
      <w:r>
        <w:t xml:space="preserve">ser el contenido periodístico portales de noticias online. </w:t>
      </w:r>
      <w:r>
        <w:t xml:space="preserve"> </w:t>
      </w:r>
    </w:p>
    <w:p w:rsidR="00A13501" w:rsidRDefault="00F7583C">
      <w:pPr>
        <w:ind w:right="291"/>
      </w:pPr>
      <w:r>
        <w:rPr>
          <w:b/>
        </w:rPr>
        <w:t xml:space="preserve">Objetivo: </w:t>
      </w:r>
      <w:r>
        <w:t xml:space="preserve">Que los alumnos diseñen un proyecto que utilice la técnica de análisis de contenido. </w:t>
      </w:r>
      <w:r>
        <w:t xml:space="preserve"> </w:t>
      </w: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>: Pertinencia del dise</w:t>
      </w:r>
      <w:r>
        <w:t xml:space="preserve">ño realizado de acuerdo a los conceptos teóricos expuestos. </w:t>
      </w:r>
      <w: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posiciones a partir del diferencial semántico </w:t>
      </w:r>
      <w:r>
        <w:t>(Actividad obligatoria)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Consigna</w:t>
      </w:r>
      <w:r>
        <w:t xml:space="preserve">: Armar una escala de diferencial semántico para medir el concepto seleccionado </w:t>
      </w:r>
      <w:r>
        <w:t xml:space="preserve"> </w:t>
      </w:r>
    </w:p>
    <w:p w:rsidR="00A13501" w:rsidRDefault="00F7583C">
      <w:pPr>
        <w:ind w:right="0"/>
      </w:pPr>
      <w:r>
        <w:t>Inclui</w:t>
      </w:r>
      <w:r>
        <w:t xml:space="preserve">r por lo menos cinco categorías Utilizar la escala para ubicar las opiniones que aparecen en textos periodísticos y llegar a una valoración que permita comparar las posiciones.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5"/>
        </w:numPr>
        <w:ind w:right="0" w:firstLine="360"/>
      </w:pPr>
      <w:r>
        <w:t>Desarrollen una escala para evaluar opiniones q</w:t>
      </w:r>
      <w:r>
        <w:t xml:space="preserve">ue aparecen en textos periodísticos.  </w:t>
      </w:r>
      <w:r>
        <w:t xml:space="preserve"> </w:t>
      </w:r>
    </w:p>
    <w:p w:rsidR="00A13501" w:rsidRDefault="00F7583C">
      <w:pPr>
        <w:numPr>
          <w:ilvl w:val="0"/>
          <w:numId w:val="5"/>
        </w:numPr>
        <w:ind w:right="0" w:firstLine="360"/>
      </w:pPr>
      <w:r>
        <w:t xml:space="preserve">Apliquen la herramienta creada para evaluar de manera sistemática las opiniones. </w:t>
      </w: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 xml:space="preserve">: Pertinencia de la herramienta creada, adecuada recolección de datos y precisión de los resultados.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pStyle w:val="Ttulo1"/>
        <w:ind w:left="-5"/>
      </w:pPr>
      <w:r>
        <w:t>Unidad 3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noticias a partir del formalismo V. </w:t>
      </w:r>
      <w:proofErr w:type="spellStart"/>
      <w:r>
        <w:rPr>
          <w:b/>
        </w:rPr>
        <w:t>Propp</w:t>
      </w:r>
      <w:proofErr w:type="spellEnd"/>
      <w:r>
        <w:rPr>
          <w:b/>
        </w:rPr>
        <w:t xml:space="preserve">. </w:t>
      </w:r>
      <w:r>
        <w:t>(Actividad obligatoria)</w:t>
      </w:r>
      <w:r>
        <w:rPr>
          <w:b/>
        </w:rPr>
        <w:t xml:space="preserve"> Consigna</w:t>
      </w:r>
      <w:r>
        <w:t xml:space="preserve">: </w:t>
      </w:r>
      <w:r>
        <w:t xml:space="preserve">Aplicar las fórmulas propuestas por V. </w:t>
      </w:r>
      <w:proofErr w:type="spellStart"/>
      <w:r>
        <w:t>Propp</w:t>
      </w:r>
      <w:proofErr w:type="spellEnd"/>
      <w:r>
        <w:t xml:space="preserve"> a diferentes textos.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Objetivo: </w:t>
      </w:r>
      <w:r>
        <w:t>Que los alumnos</w:t>
      </w:r>
      <w:r>
        <w:rPr>
          <w:b/>
        </w:rPr>
        <w:t xml:space="preserve"> </w:t>
      </w:r>
      <w:r>
        <w:t xml:space="preserve">utilicen las propuestas del formalismo para el análisis de discursos.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>: Adecuación d</w:t>
      </w:r>
      <w:r>
        <w:t xml:space="preserve">el análisis a los conceptos presentados. </w:t>
      </w:r>
      <w: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sobre el texto de </w:t>
      </w:r>
      <w:proofErr w:type="spellStart"/>
      <w:r>
        <w:rPr>
          <w:b/>
        </w:rPr>
        <w:t>Morin</w:t>
      </w:r>
      <w:proofErr w:type="spellEnd"/>
      <w:r>
        <w:rPr>
          <w:b/>
        </w:rPr>
        <w:t xml:space="preserve"> </w:t>
      </w:r>
      <w:r>
        <w:t>(Actividad obligatoria)</w:t>
      </w:r>
      <w:r>
        <w:rPr>
          <w:b/>
        </w:rPr>
        <w:t xml:space="preserve">  </w:t>
      </w:r>
    </w:p>
    <w:p w:rsidR="00A13501" w:rsidRDefault="00F7583C">
      <w:pPr>
        <w:ind w:right="0"/>
      </w:pPr>
      <w:r>
        <w:rPr>
          <w:b/>
        </w:rPr>
        <w:t>Consigna</w:t>
      </w:r>
      <w:r>
        <w:t>: Explorar las unidades de estudio y las categorías que plantea la autora para luego tenerlo en cuenta en el trabajo práctico con ca</w:t>
      </w:r>
      <w:r>
        <w:t>rácter de parcial que deberán entregar los alumnos.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Objetivo: </w:t>
      </w:r>
      <w:r>
        <w:t xml:space="preserve">Que los alumnos utilicen las propuestas de los distintos ejemplos para el análisis de discursos.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b/>
        </w:rPr>
        <w:t>Evaluación:</w:t>
      </w:r>
      <w:r>
        <w:t xml:space="preserve"> Grupal.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>: Adecuación del a</w:t>
      </w:r>
      <w:r>
        <w:t xml:space="preserve">nálisis a los conceptos presentados por </w:t>
      </w:r>
      <w:proofErr w:type="spellStart"/>
      <w:r>
        <w:t>Wimmer</w:t>
      </w:r>
      <w:proofErr w:type="spellEnd"/>
      <w:r>
        <w:t xml:space="preserve"> y </w:t>
      </w:r>
      <w:proofErr w:type="spellStart"/>
      <w:r>
        <w:t>Dominick</w:t>
      </w:r>
      <w:proofErr w:type="spellEnd"/>
      <w:r>
        <w:t xml:space="preserve">, </w:t>
      </w:r>
      <w:proofErr w:type="spellStart"/>
      <w:r>
        <w:t>Piñuel</w:t>
      </w:r>
      <w:proofErr w:type="spellEnd"/>
      <w:r>
        <w:t xml:space="preserve"> </w:t>
      </w:r>
      <w:proofErr w:type="spellStart"/>
      <w:r>
        <w:t>Raigada</w:t>
      </w:r>
      <w:proofErr w:type="spellEnd"/>
      <w:r>
        <w:t xml:space="preserve"> y </w:t>
      </w:r>
      <w:proofErr w:type="spellStart"/>
      <w:r>
        <w:t>Gaitan</w:t>
      </w:r>
      <w:proofErr w:type="spellEnd"/>
      <w:r>
        <w:t xml:space="preserve"> Moya y V. </w:t>
      </w:r>
      <w:proofErr w:type="spellStart"/>
      <w:r>
        <w:t>Morin</w:t>
      </w:r>
      <w:proofErr w:type="spellEnd"/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pStyle w:val="Ttulo1"/>
        <w:ind w:left="-5"/>
      </w:pPr>
      <w:r>
        <w:t>Unidad 4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Crítico del Discurso </w:t>
      </w:r>
      <w:r>
        <w:t xml:space="preserve">(Actividad sugerida) </w:t>
      </w:r>
      <w:r>
        <w:t xml:space="preserve"> </w:t>
      </w:r>
    </w:p>
    <w:p w:rsidR="00A13501" w:rsidRDefault="00F7583C">
      <w:pPr>
        <w:ind w:right="172"/>
      </w:pPr>
      <w:r>
        <w:rPr>
          <w:b/>
        </w:rPr>
        <w:t>Consigna:</w:t>
      </w:r>
      <w:r>
        <w:t xml:space="preserve"> </w:t>
      </w:r>
      <w:r>
        <w:t xml:space="preserve">Leer el texto: Meyer, Michael “Entre la teoría, el método y la política: la ubicación de los enfoques relacionados con el ACD” en </w:t>
      </w:r>
      <w:proofErr w:type="spellStart"/>
      <w:r>
        <w:t>Wodak</w:t>
      </w:r>
      <w:proofErr w:type="spellEnd"/>
      <w:r>
        <w:t xml:space="preserve">, Ruth y Michael Meyer. Métodos de Análisis Crítico del Discurso. Barcelona, </w:t>
      </w:r>
      <w:proofErr w:type="spellStart"/>
      <w:r>
        <w:t>Gedisa</w:t>
      </w:r>
      <w:proofErr w:type="spellEnd"/>
      <w:r>
        <w:t xml:space="preserve">, 2003. Pág. 35 a 59. A partir de él, </w:t>
      </w:r>
      <w:r>
        <w:t xml:space="preserve">responder </w:t>
      </w:r>
      <w:proofErr w:type="gramStart"/>
      <w:r>
        <w:t>las  preguntas</w:t>
      </w:r>
      <w:proofErr w:type="gramEnd"/>
      <w:r>
        <w:t xml:space="preserve"> que se propondrán el trabajo práctico.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Objetivo: </w:t>
      </w:r>
      <w:r>
        <w:t xml:space="preserve">Que los alumnos incorporen los conceptos y explicaciones que hacen los diferentes autores sobre el análisis crítico del discurso.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individual.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 xml:space="preserve">: Adecuación de las respuestas con los conceptos. </w:t>
      </w:r>
      <w:r>
        <w:t xml:space="preserve"> </w:t>
      </w:r>
    </w:p>
    <w:p w:rsidR="00A13501" w:rsidRDefault="00F7583C">
      <w:pPr>
        <w:spacing w:after="0" w:line="259" w:lineRule="auto"/>
        <w:ind w:left="0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Crítico del Discurso </w:t>
      </w:r>
      <w:r>
        <w:t xml:space="preserve">(Actividad sugerida) </w:t>
      </w:r>
      <w:r>
        <w:t xml:space="preserve"> </w:t>
      </w:r>
    </w:p>
    <w:p w:rsidR="00A13501" w:rsidRDefault="00F7583C">
      <w:pPr>
        <w:ind w:right="180"/>
      </w:pPr>
      <w:r>
        <w:rPr>
          <w:b/>
        </w:rPr>
        <w:t>Consigna:</w:t>
      </w:r>
      <w:r>
        <w:t xml:space="preserve"> Leer el texto: Van </w:t>
      </w:r>
      <w:proofErr w:type="spellStart"/>
      <w:r>
        <w:t>Dijk</w:t>
      </w:r>
      <w:proofErr w:type="spellEnd"/>
      <w:r>
        <w:t xml:space="preserve"> “Racismo y discurso de las élites” en </w:t>
      </w:r>
      <w:proofErr w:type="spellStart"/>
      <w:r>
        <w:t>Wodak</w:t>
      </w:r>
      <w:proofErr w:type="spellEnd"/>
      <w:r>
        <w:t>, Ruth y Michael Meyer. Métodos de An</w:t>
      </w:r>
      <w:r>
        <w:t xml:space="preserve">álisis Crítico del Discurso. En base al análisis de noticieros argentinos puedan identificar los conceptos utilizados por el autor.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Objetivo: </w:t>
      </w:r>
      <w:r>
        <w:t>Que los alumnos incorporen los conceptos y explicaciones que hacen los diferentes autores sobre el análisis crít</w:t>
      </w:r>
      <w:r>
        <w:t xml:space="preserve">ico del discurso.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individual.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>: Adecuación de las respuestas con los conceptos.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pStyle w:val="Ttulo1"/>
        <w:ind w:left="-5"/>
      </w:pPr>
      <w:r>
        <w:t>Unidad 5</w:t>
      </w:r>
      <w:r>
        <w:rPr>
          <w:u w:val="none"/>
        </w:rPr>
        <w:t xml:space="preserve"> </w:t>
      </w:r>
      <w:r>
        <w:rPr>
          <w:u w:val="none"/>
        </w:rP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manipulación en noticieros de televisión </w:t>
      </w:r>
      <w:r>
        <w:t>(Actividad sugerida)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Consigna: </w:t>
      </w:r>
      <w:r>
        <w:t>Analizar en t</w:t>
      </w:r>
      <w:r>
        <w:t>res noticias los grados de manipulación empleado (según Vilches) y los principios de manipulación existentes (según Eco).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26"/>
        <w:ind w:right="0"/>
      </w:pPr>
      <w:r>
        <w:rPr>
          <w:b/>
        </w:rPr>
        <w:t xml:space="preserve">Objetivos: </w:t>
      </w:r>
      <w:r>
        <w:t>Que los alumnos: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6"/>
        </w:numPr>
        <w:spacing w:after="26"/>
        <w:ind w:right="0" w:hanging="360"/>
      </w:pPr>
      <w:r>
        <w:t xml:space="preserve">Desarrollen la capacidad de analizar críticamente los contenidos periodísticos televisivos. </w:t>
      </w:r>
      <w:r>
        <w:t xml:space="preserve"> </w:t>
      </w:r>
    </w:p>
    <w:p w:rsidR="00A13501" w:rsidRDefault="00F7583C">
      <w:pPr>
        <w:numPr>
          <w:ilvl w:val="0"/>
          <w:numId w:val="6"/>
        </w:numPr>
        <w:ind w:right="0" w:hanging="360"/>
      </w:pPr>
      <w:r>
        <w:t xml:space="preserve">Identifiquen técnicas de manipulación que se usan habitualmente en los medios de comunicación.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Evaluación:</w:t>
      </w:r>
      <w:r>
        <w:t xml:space="preserve"> Grupal de tipo conceptual.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 xml:space="preserve">: Adecuación de los análisis al marco conceptual expuesto.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r>
        <w:rPr>
          <w:u w:val="single" w:color="000000"/>
        </w:rPr>
        <w:t>Actividad</w:t>
      </w:r>
      <w:r>
        <w:t xml:space="preserve">: </w:t>
      </w:r>
      <w:r>
        <w:rPr>
          <w:b/>
        </w:rPr>
        <w:t xml:space="preserve">Análisis de noticiero en televisión </w:t>
      </w:r>
      <w:r>
        <w:t>(Actividad obligatoria)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 xml:space="preserve">Consigna: </w:t>
      </w:r>
      <w:r>
        <w:t>Analizar el noticiero asignado de acuerdo a la guía en que se propone aplicar todos los conceptos teóricos estudiados.</w:t>
      </w:r>
      <w:r>
        <w:rPr>
          <w:b/>
        </w:rPr>
        <w:t xml:space="preserve">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Objetivo</w:t>
      </w:r>
      <w:r>
        <w:t>: Que los alumnos analicen críticamente lo</w:t>
      </w:r>
      <w:r>
        <w:t xml:space="preserve">s noticieros a partir de la aplicación de los conceptos estudiados.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Modalidad:</w:t>
      </w:r>
      <w:r>
        <w:t xml:space="preserve"> Actividad grupal.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Evaluación:</w:t>
      </w:r>
      <w:r>
        <w:t xml:space="preserve"> Grupal de tipo conceptual.  </w:t>
      </w:r>
      <w:r>
        <w:t xml:space="preserve"> </w:t>
      </w:r>
    </w:p>
    <w:p w:rsidR="00A13501" w:rsidRDefault="00F7583C">
      <w:pPr>
        <w:ind w:right="0"/>
      </w:pPr>
      <w:r>
        <w:rPr>
          <w:b/>
        </w:rPr>
        <w:t>Criterios de evaluación</w:t>
      </w:r>
      <w:r>
        <w:t>: Adecuación de los análisis al marco conceptual expuesto y claridad de la exposición oral</w:t>
      </w:r>
      <w:r>
        <w:t xml:space="preserve">.  </w:t>
      </w:r>
      <w:r>
        <w:t xml:space="preserve"> </w:t>
      </w:r>
    </w:p>
    <w:p w:rsidR="00A13501" w:rsidRDefault="00F7583C">
      <w:pPr>
        <w:spacing w:after="14" w:line="259" w:lineRule="auto"/>
        <w:ind w:left="15" w:right="0" w:firstLine="0"/>
        <w:jc w:val="left"/>
      </w:pPr>
      <w:r>
        <w:rPr>
          <w:rFonts w:ascii="Arial" w:eastAsia="Arial" w:hAnsi="Arial" w:cs="Arial"/>
          <w:b/>
          <w:sz w:val="20"/>
        </w:rPr>
        <w:t xml:space="preserve"> 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rFonts w:ascii="Arial" w:eastAsia="Arial" w:hAnsi="Arial" w:cs="Arial"/>
          <w:b/>
          <w:sz w:val="20"/>
        </w:rPr>
        <w:t xml:space="preserve"> </w:t>
      </w:r>
      <w:r>
        <w:rPr>
          <w:sz w:val="24"/>
        </w:rPr>
        <w:t xml:space="preserve"> </w:t>
      </w:r>
      <w:r>
        <w:t xml:space="preserve"> </w:t>
      </w:r>
    </w:p>
    <w:p w:rsidR="00A13501" w:rsidRDefault="00F7583C">
      <w:pPr>
        <w:spacing w:after="43" w:line="259" w:lineRule="auto"/>
        <w:ind w:left="15" w:right="0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7"/>
        </w:numPr>
        <w:spacing w:after="3" w:line="261" w:lineRule="auto"/>
        <w:ind w:right="0" w:hanging="726"/>
        <w:jc w:val="left"/>
      </w:pPr>
      <w:r>
        <w:rPr>
          <w:b/>
        </w:rPr>
        <w:t xml:space="preserve">PRÁCTICAS PROFESIONALES (si corresponde)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rPr>
          <w:i/>
          <w:color w:val="4A442A"/>
          <w:sz w:val="20"/>
        </w:rPr>
        <w:t xml:space="preserve">  </w:t>
      </w:r>
      <w:r>
        <w:t xml:space="preserve"> </w:t>
      </w:r>
    </w:p>
    <w:p w:rsidR="00A13501" w:rsidRDefault="00F7583C">
      <w:pPr>
        <w:spacing w:after="6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7"/>
        </w:numPr>
        <w:spacing w:after="3" w:line="261" w:lineRule="auto"/>
        <w:ind w:right="0" w:hanging="726"/>
        <w:jc w:val="left"/>
      </w:pPr>
      <w:r>
        <w:rPr>
          <w:b/>
        </w:rPr>
        <w:t xml:space="preserve">SEGUIMIENTO DE ALUMNOS </w:t>
      </w:r>
      <w:r>
        <w:t xml:space="preserve"> </w:t>
      </w:r>
    </w:p>
    <w:p w:rsidR="00A13501" w:rsidRDefault="00F7583C">
      <w:pPr>
        <w:ind w:left="385" w:right="177"/>
      </w:pPr>
      <w:r>
        <w:t xml:space="preserve">En cada clase se realizan actividades, tanto individuales como grupales, que permiten el seguimiento personalizado de cada alumno Los alumnos deben tener el 75% de los trabajos realizados para aprobar la cursada de la materia. También se presta atención a </w:t>
      </w:r>
      <w:r>
        <w:t xml:space="preserve">la participación de los estudiantes en las discusiones que se llevan a cabo a lo largo del curso.  </w:t>
      </w:r>
      <w:r>
        <w:t xml:space="preserve"> </w:t>
      </w:r>
    </w:p>
    <w:p w:rsidR="00A13501" w:rsidRDefault="00F7583C">
      <w:pPr>
        <w:spacing w:after="1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numPr>
          <w:ilvl w:val="0"/>
          <w:numId w:val="7"/>
        </w:numPr>
        <w:spacing w:after="3" w:line="261" w:lineRule="auto"/>
        <w:ind w:right="0" w:hanging="726"/>
        <w:jc w:val="left"/>
      </w:pPr>
      <w:r>
        <w:rPr>
          <w:b/>
        </w:rPr>
        <w:t xml:space="preserve">MODALIDAD DE EVALUACIÓN: </w:t>
      </w:r>
      <w:r>
        <w:t xml:space="preserve"> </w:t>
      </w:r>
    </w:p>
    <w:p w:rsidR="00A13501" w:rsidRDefault="00F7583C">
      <w:pPr>
        <w:ind w:left="385" w:right="177"/>
      </w:pPr>
      <w:r>
        <w:t xml:space="preserve">La modalidad de evaluación tiene componentes tanto formativos como </w:t>
      </w:r>
      <w:proofErr w:type="spellStart"/>
      <w:r>
        <w:t>sumativos</w:t>
      </w:r>
      <w:proofErr w:type="spellEnd"/>
      <w:r>
        <w:t xml:space="preserve">. Es formativa a través de los trabajos prácticos individuales y grupales sobre los temas que se desarrollen en el curso. Es </w:t>
      </w:r>
      <w:proofErr w:type="spellStart"/>
      <w:r>
        <w:t>sumativa</w:t>
      </w:r>
      <w:proofErr w:type="spellEnd"/>
      <w:r>
        <w:t xml:space="preserve"> en el momento del examen parcial, que es escri</w:t>
      </w:r>
      <w:r>
        <w:t xml:space="preserve">to. </w:t>
      </w:r>
      <w:r>
        <w:t xml:space="preserve"> </w:t>
      </w:r>
    </w:p>
    <w:p w:rsidR="00A13501" w:rsidRDefault="00F7583C">
      <w:pPr>
        <w:spacing w:after="41"/>
        <w:ind w:left="385" w:right="0"/>
      </w:pPr>
      <w:r>
        <w:t xml:space="preserve">Para estar en condiciones de acceder al final, el alumno debe tener: </w:t>
      </w:r>
      <w:r>
        <w:t xml:space="preserve"> </w:t>
      </w:r>
    </w:p>
    <w:p w:rsidR="00A13501" w:rsidRDefault="00F7583C">
      <w:pPr>
        <w:spacing w:after="32"/>
        <w:ind w:left="385" w:right="1082"/>
      </w:pPr>
      <w:r>
        <w:rPr>
          <w:noProof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238125</wp:posOffset>
            </wp:positionH>
            <wp:positionV relativeFrom="paragraph">
              <wp:posOffset>-55188</wp:posOffset>
            </wp:positionV>
            <wp:extent cx="177800" cy="184150"/>
            <wp:effectExtent l="0" t="0" r="0" b="0"/>
            <wp:wrapNone/>
            <wp:docPr id="1652" name="Picture 1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2" name="Picture 165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5044123</wp:posOffset>
            </wp:positionH>
            <wp:positionV relativeFrom="paragraph">
              <wp:posOffset>-55188</wp:posOffset>
            </wp:positionV>
            <wp:extent cx="171450" cy="184150"/>
            <wp:effectExtent l="0" t="0" r="0" b="0"/>
            <wp:wrapNone/>
            <wp:docPr id="1658" name="Picture 1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" name="Picture 16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8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Calibri" w:eastAsia="Calibri" w:hAnsi="Calibri" w:cs="Calibri"/>
        </w:rPr>
        <w:t></w:t>
      </w:r>
      <w:r>
        <w:rPr>
          <w:rFonts w:ascii="Arial" w:eastAsia="Arial" w:hAnsi="Arial" w:cs="Arial"/>
        </w:rPr>
        <w:t xml:space="preserve">  </w:t>
      </w:r>
      <w:r>
        <w:t>75</w:t>
      </w:r>
      <w:proofErr w:type="gramEnd"/>
      <w:r>
        <w:t xml:space="preserve">% de los trabajos prácticos aprobados (incluyendo el 100% de los obligatorios) </w:t>
      </w:r>
      <w:r>
        <w:rPr>
          <w:rFonts w:ascii="Calibri" w:eastAsia="Calibri" w:hAnsi="Calibri" w:cs="Calibri"/>
        </w:rPr>
        <w:t></w:t>
      </w: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</w:rPr>
        <w:tab/>
      </w:r>
      <w:r>
        <w:t xml:space="preserve">Parcial o su </w:t>
      </w:r>
      <w:proofErr w:type="spellStart"/>
      <w:r>
        <w:t>recuperatorio</w:t>
      </w:r>
      <w:proofErr w:type="spellEnd"/>
      <w:r>
        <w:t xml:space="preserve"> aprobado en la fecha fijada por la facultad.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ind w:right="0"/>
      </w:pPr>
      <w:r>
        <w:t>La aprobació</w:t>
      </w:r>
      <w:r>
        <w:t xml:space="preserve">n de la materia se da mediante un examen final escrito.  </w:t>
      </w:r>
      <w:r>
        <w:t xml:space="preserve"> </w:t>
      </w:r>
    </w:p>
    <w:p w:rsidR="00A13501" w:rsidRDefault="00F7583C">
      <w:pPr>
        <w:spacing w:after="2" w:line="259" w:lineRule="auto"/>
        <w:ind w:left="15" w:right="0" w:firstLine="0"/>
        <w:jc w:val="left"/>
      </w:pPr>
      <w:r>
        <w:rPr>
          <w:i/>
          <w:color w:val="4A442A"/>
          <w:sz w:val="20"/>
        </w:rPr>
        <w:t xml:space="preserve">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65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7"/>
        </w:numPr>
        <w:spacing w:after="3" w:line="261" w:lineRule="auto"/>
        <w:ind w:right="0" w:hanging="726"/>
        <w:jc w:val="left"/>
      </w:pPr>
      <w:r>
        <w:rPr>
          <w:b/>
        </w:rPr>
        <w:t xml:space="preserve">BIBLIOGRAFÍA COMPLEMENTARIA: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1:</w:t>
      </w:r>
      <w:r>
        <w:t xml:space="preserve"> </w:t>
      </w:r>
      <w:r>
        <w:t xml:space="preserve"> </w:t>
      </w:r>
    </w:p>
    <w:p w:rsidR="00A13501" w:rsidRDefault="00F7583C">
      <w:pPr>
        <w:ind w:right="0"/>
      </w:pPr>
      <w:proofErr w:type="spellStart"/>
      <w:r>
        <w:t>McLuhan</w:t>
      </w:r>
      <w:proofErr w:type="spellEnd"/>
      <w:r>
        <w:t xml:space="preserve">, M. (2009) </w:t>
      </w:r>
      <w:r>
        <w:rPr>
          <w:i/>
        </w:rPr>
        <w:t>Comprender los medios de comunicación.</w:t>
      </w:r>
      <w:r>
        <w:t xml:space="preserve"> Paidós. (Cap. 21. La prensa)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2: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proofErr w:type="spellStart"/>
      <w:r>
        <w:t>Krippendorff</w:t>
      </w:r>
      <w:proofErr w:type="spellEnd"/>
      <w:r>
        <w:t xml:space="preserve">, K. (1990). </w:t>
      </w:r>
      <w:r>
        <w:rPr>
          <w:i/>
        </w:rPr>
        <w:t>Metodología de análisis de contenido</w:t>
      </w:r>
      <w:r>
        <w:t xml:space="preserve">. Paidós.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r>
        <w:t xml:space="preserve">Vilches, L. (2020) </w:t>
      </w:r>
      <w:r>
        <w:rPr>
          <w:i/>
        </w:rPr>
        <w:t xml:space="preserve">La Investigación en comunicación. Métodos y técnicas en la era digital. </w:t>
      </w:r>
      <w:proofErr w:type="spellStart"/>
      <w:r>
        <w:t>Gedisa</w:t>
      </w:r>
      <w:proofErr w:type="spellEnd"/>
      <w:r>
        <w:rPr>
          <w:i/>
        </w:rPr>
        <w:t xml:space="preserve">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Proctor</w:t>
      </w:r>
      <w:proofErr w:type="spellEnd"/>
      <w:r>
        <w:t xml:space="preserve">, W. (2000).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gospel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according</w:t>
      </w:r>
      <w:proofErr w:type="spellEnd"/>
      <w:r>
        <w:rPr>
          <w:i/>
        </w:rPr>
        <w:t xml:space="preserve"> to </w:t>
      </w:r>
      <w:proofErr w:type="spellStart"/>
      <w:r>
        <w:rPr>
          <w:i/>
        </w:rPr>
        <w:t>The</w:t>
      </w:r>
      <w:proofErr w:type="spellEnd"/>
      <w:r>
        <w:rPr>
          <w:i/>
        </w:rPr>
        <w:t xml:space="preserve"> New York Times.</w:t>
      </w:r>
      <w:r>
        <w:t xml:space="preserve"> </w:t>
      </w:r>
      <w:proofErr w:type="spellStart"/>
      <w:r>
        <w:t>Broadman</w:t>
      </w:r>
      <w:proofErr w:type="spellEnd"/>
      <w:r>
        <w:t xml:space="preserve"> &amp; </w:t>
      </w:r>
      <w:proofErr w:type="spellStart"/>
      <w:r>
        <w:t>Holman</w:t>
      </w:r>
      <w:proofErr w:type="spellEnd"/>
      <w:r>
        <w:t xml:space="preserve"> </w:t>
      </w:r>
      <w:proofErr w:type="spellStart"/>
      <w:r>
        <w:t>Publishers</w:t>
      </w:r>
      <w:proofErr w:type="spellEnd"/>
      <w:r>
        <w:t xml:space="preserve">. (Ficha de la cátedra)  </w:t>
      </w:r>
      <w:r>
        <w:t xml:space="preserve"> </w:t>
      </w:r>
    </w:p>
    <w:p w:rsidR="00A13501" w:rsidRDefault="00F7583C">
      <w:pPr>
        <w:spacing w:after="4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3: </w:t>
      </w:r>
      <w:r>
        <w:t xml:space="preserve"> </w:t>
      </w:r>
    </w:p>
    <w:p w:rsidR="00A13501" w:rsidRDefault="00F7583C">
      <w:pPr>
        <w:ind w:left="721" w:right="0" w:hanging="721"/>
      </w:pPr>
      <w:proofErr w:type="spellStart"/>
      <w:r>
        <w:t>McQuail</w:t>
      </w:r>
      <w:proofErr w:type="spellEnd"/>
      <w:r>
        <w:t xml:space="preserve">, D. (1983). </w:t>
      </w:r>
      <w:r>
        <w:rPr>
          <w:i/>
        </w:rPr>
        <w:t>Introducción a la teoría de la comunicación de masas.</w:t>
      </w:r>
      <w:r>
        <w:t xml:space="preserve"> Paidós. (Cap. 5 El contenido de los medios. Pág. 158 a 163)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4: </w:t>
      </w:r>
      <w:r>
        <w:t xml:space="preserve"> </w:t>
      </w:r>
    </w:p>
    <w:p w:rsidR="00A13501" w:rsidRDefault="00F7583C">
      <w:pPr>
        <w:spacing w:after="3" w:line="252" w:lineRule="auto"/>
        <w:ind w:left="726" w:right="0" w:hanging="741"/>
        <w:jc w:val="left"/>
      </w:pPr>
      <w:proofErr w:type="spellStart"/>
      <w:r>
        <w:t>Bernhardt</w:t>
      </w:r>
      <w:proofErr w:type="spellEnd"/>
      <w:r>
        <w:t xml:space="preserve">, F. M. E. (coordinador), Ferrari, A. H. E., Soriano, L. S. (1994). </w:t>
      </w:r>
      <w:r>
        <w:rPr>
          <w:i/>
        </w:rPr>
        <w:t xml:space="preserve">Actualización lingüística: </w:t>
      </w:r>
      <w:r>
        <w:t xml:space="preserve"> </w:t>
      </w:r>
      <w:r>
        <w:rPr>
          <w:i/>
        </w:rPr>
        <w:t xml:space="preserve">introducción a métodos de análisis del discurso: competencias, lingüística textual, teoría de la </w:t>
      </w:r>
    </w:p>
    <w:p w:rsidR="00A13501" w:rsidRDefault="00F7583C">
      <w:pPr>
        <w:ind w:left="761" w:right="0"/>
      </w:pPr>
      <w:r>
        <w:rPr>
          <w:i/>
        </w:rPr>
        <w:t>enunciación.</w:t>
      </w:r>
      <w:r>
        <w:t xml:space="preserve"> Universidad Nacional de Quilmes. </w:t>
      </w:r>
      <w:r>
        <w:t xml:space="preserve"> </w:t>
      </w:r>
    </w:p>
    <w:p w:rsidR="00A13501" w:rsidRDefault="00F7583C">
      <w:pPr>
        <w:spacing w:after="3" w:line="252" w:lineRule="auto"/>
        <w:ind w:left="706" w:right="0" w:hanging="721"/>
        <w:jc w:val="left"/>
      </w:pPr>
      <w:r>
        <w:t>Carva</w:t>
      </w:r>
      <w:r>
        <w:t xml:space="preserve">llo, S. (2009). </w:t>
      </w:r>
      <w:r>
        <w:rPr>
          <w:i/>
        </w:rPr>
        <w:t>Palabras públicas: voces, ecos y silencios en la escritura: categorías para el análisis crítico de discursos institucionales y periodísticos.</w:t>
      </w:r>
      <w:r>
        <w:t xml:space="preserve"> Editorial Universitaria, Universidad Nacional de Misiones. </w:t>
      </w:r>
      <w:r>
        <w:t xml:space="preserve"> </w:t>
      </w:r>
    </w:p>
    <w:p w:rsidR="00A13501" w:rsidRDefault="00F7583C">
      <w:pPr>
        <w:ind w:right="0"/>
      </w:pPr>
      <w:proofErr w:type="spellStart"/>
      <w:r>
        <w:t>Charaudeau</w:t>
      </w:r>
      <w:proofErr w:type="spellEnd"/>
      <w:r>
        <w:t xml:space="preserve">, P. (director); </w:t>
      </w:r>
      <w:proofErr w:type="spellStart"/>
      <w:r>
        <w:t>Mainguenea</w:t>
      </w:r>
      <w:r>
        <w:t>u</w:t>
      </w:r>
      <w:proofErr w:type="spellEnd"/>
      <w:r>
        <w:t xml:space="preserve">, D. (director). (2005). </w:t>
      </w:r>
      <w:r>
        <w:rPr>
          <w:i/>
        </w:rPr>
        <w:t>Diccionario de análisis del discurso</w:t>
      </w:r>
      <w:r>
        <w:t xml:space="preserve">. </w:t>
      </w:r>
      <w:proofErr w:type="spellStart"/>
      <w:r>
        <w:t>Amorrortu</w:t>
      </w:r>
      <w:proofErr w:type="spellEnd"/>
      <w:r>
        <w:t xml:space="preserve">. Escudero, L. (1996). </w:t>
      </w:r>
      <w:r>
        <w:rPr>
          <w:i/>
        </w:rPr>
        <w:t>Malvinas: el gran relato</w:t>
      </w:r>
      <w:r>
        <w:t xml:space="preserve">. </w:t>
      </w:r>
      <w:proofErr w:type="spellStart"/>
      <w:r>
        <w:t>Gedisa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spacing w:after="3" w:line="252" w:lineRule="auto"/>
        <w:ind w:left="706" w:right="0" w:hanging="721"/>
        <w:jc w:val="left"/>
      </w:pPr>
      <w:r>
        <w:t xml:space="preserve">Fernández </w:t>
      </w:r>
      <w:proofErr w:type="spellStart"/>
      <w:r>
        <w:t>Pedemonte</w:t>
      </w:r>
      <w:proofErr w:type="spellEnd"/>
      <w:r>
        <w:t xml:space="preserve">, D. (2001). </w:t>
      </w:r>
      <w:r>
        <w:rPr>
          <w:i/>
        </w:rPr>
        <w:t>La violencia del relato. Discurso periodístico y casos policiales.</w:t>
      </w:r>
      <w:r>
        <w:t xml:space="preserve"> La Crujía. (Cap. 3) </w:t>
      </w:r>
      <w:r>
        <w:t xml:space="preserve"> </w:t>
      </w:r>
    </w:p>
    <w:p w:rsidR="00A13501" w:rsidRDefault="00F7583C">
      <w:pPr>
        <w:spacing w:after="3" w:line="252" w:lineRule="auto"/>
        <w:ind w:left="706" w:right="0" w:hanging="721"/>
        <w:jc w:val="left"/>
      </w:pPr>
      <w:proofErr w:type="spellStart"/>
      <w:r>
        <w:t>Gui</w:t>
      </w:r>
      <w:r>
        <w:t>telman</w:t>
      </w:r>
      <w:proofErr w:type="spellEnd"/>
      <w:r>
        <w:t xml:space="preserve">, P. (2006). </w:t>
      </w:r>
      <w:r>
        <w:rPr>
          <w:i/>
        </w:rPr>
        <w:t xml:space="preserve">La infancia en dictadura. Modernidad y conservadurismo en el mundo de </w:t>
      </w:r>
      <w:proofErr w:type="spellStart"/>
      <w:r>
        <w:rPr>
          <w:i/>
        </w:rPr>
        <w:t>Billiken</w:t>
      </w:r>
      <w:proofErr w:type="spellEnd"/>
      <w:r>
        <w:t xml:space="preserve">. Buenos Aires: Prometeo Libros. </w:t>
      </w:r>
      <w:r>
        <w:t xml:space="preserve"> </w:t>
      </w:r>
    </w:p>
    <w:p w:rsidR="00A13501" w:rsidRDefault="00F7583C">
      <w:pPr>
        <w:spacing w:after="3" w:line="252" w:lineRule="auto"/>
        <w:ind w:left="706" w:right="0" w:hanging="721"/>
        <w:jc w:val="left"/>
      </w:pPr>
      <w:proofErr w:type="spellStart"/>
      <w:r>
        <w:t>Maingueneau</w:t>
      </w:r>
      <w:proofErr w:type="spellEnd"/>
      <w:r>
        <w:t xml:space="preserve">, D. (1989). </w:t>
      </w:r>
      <w:r>
        <w:rPr>
          <w:i/>
        </w:rPr>
        <w:t xml:space="preserve">Introducción a los métodos de análisis del discurso: problemas y perspectivas. </w:t>
      </w:r>
      <w:proofErr w:type="spellStart"/>
      <w:r>
        <w:t>Hachette</w:t>
      </w:r>
      <w:proofErr w:type="spellEnd"/>
      <w:r>
        <w:t xml:space="preserve">.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proofErr w:type="spellStart"/>
      <w:r>
        <w:t>Sunkel</w:t>
      </w:r>
      <w:proofErr w:type="spellEnd"/>
      <w:r>
        <w:t xml:space="preserve">, G. (2004). </w:t>
      </w:r>
      <w:r>
        <w:rPr>
          <w:i/>
        </w:rPr>
        <w:t>La prensa sensacionalista y los sectores populares</w:t>
      </w:r>
      <w:r>
        <w:t xml:space="preserve">. Norma. </w:t>
      </w:r>
      <w:r>
        <w:t xml:space="preserve"> </w:t>
      </w:r>
    </w:p>
    <w:p w:rsidR="00A13501" w:rsidRDefault="00F7583C">
      <w:pPr>
        <w:spacing w:after="3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3" w:line="261" w:lineRule="auto"/>
        <w:ind w:right="0"/>
        <w:jc w:val="left"/>
      </w:pPr>
      <w:proofErr w:type="gramStart"/>
      <w:r>
        <w:rPr>
          <w:b/>
        </w:rPr>
        <w:t>Unidad Nº</w:t>
      </w:r>
      <w:proofErr w:type="gramEnd"/>
      <w:r>
        <w:rPr>
          <w:b/>
        </w:rPr>
        <w:t xml:space="preserve"> 5: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proofErr w:type="spellStart"/>
      <w:r>
        <w:t>Farré</w:t>
      </w:r>
      <w:proofErr w:type="spellEnd"/>
      <w:r>
        <w:t xml:space="preserve">, M. (2004). </w:t>
      </w:r>
      <w:r>
        <w:rPr>
          <w:i/>
        </w:rPr>
        <w:t>El noticiero como mundo posible. Estrategias ficcionales.</w:t>
      </w:r>
      <w:r>
        <w:t xml:space="preserve"> La Crujía. </w:t>
      </w:r>
      <w:r>
        <w:t xml:space="preserve"> </w:t>
      </w:r>
    </w:p>
    <w:p w:rsidR="00A13501" w:rsidRDefault="00F7583C">
      <w:pPr>
        <w:ind w:right="0"/>
      </w:pPr>
      <w:r>
        <w:t xml:space="preserve">Bourdieu, P. (2005). </w:t>
      </w:r>
      <w:r>
        <w:rPr>
          <w:i/>
        </w:rPr>
        <w:t>Sobre la televisión.</w:t>
      </w:r>
      <w:r>
        <w:t xml:space="preserve"> Anagrama. </w:t>
      </w:r>
      <w:r>
        <w:t xml:space="preserve"> </w:t>
      </w:r>
    </w:p>
    <w:p w:rsidR="00A13501" w:rsidRDefault="00F7583C">
      <w:pPr>
        <w:spacing w:after="3" w:line="252" w:lineRule="auto"/>
        <w:ind w:left="-5" w:right="0"/>
        <w:jc w:val="left"/>
      </w:pPr>
      <w:r>
        <w:t>González Requen</w:t>
      </w:r>
      <w:r>
        <w:t xml:space="preserve">a, J. (1988). </w:t>
      </w:r>
      <w:r>
        <w:rPr>
          <w:i/>
        </w:rPr>
        <w:t>El discurso televisivo: espectáculo de la posmodernidad.</w:t>
      </w:r>
      <w:r>
        <w:t xml:space="preserve"> Cátedra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spacing w:after="59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8"/>
        </w:numPr>
        <w:spacing w:after="3" w:line="261" w:lineRule="auto"/>
        <w:ind w:right="0" w:hanging="791"/>
        <w:jc w:val="left"/>
      </w:pPr>
      <w:r>
        <w:rPr>
          <w:b/>
        </w:rPr>
        <w:t xml:space="preserve">FIRMA DE DOCENTES: </w:t>
      </w:r>
      <w:r>
        <w:t xml:space="preserve"> </w:t>
      </w:r>
    </w:p>
    <w:p w:rsidR="00A13501" w:rsidRDefault="00F7583C">
      <w:pPr>
        <w:spacing w:after="0" w:line="259" w:lineRule="auto"/>
        <w:ind w:left="15" w:right="0" w:firstLine="0"/>
        <w:jc w:val="left"/>
      </w:pPr>
      <w:r>
        <w:t xml:space="preserve"> </w:t>
      </w:r>
      <w:r>
        <w:t xml:space="preserve"> </w:t>
      </w:r>
    </w:p>
    <w:p w:rsidR="00A13501" w:rsidRDefault="00F7583C">
      <w:pPr>
        <w:numPr>
          <w:ilvl w:val="0"/>
          <w:numId w:val="8"/>
        </w:numPr>
        <w:spacing w:after="3" w:line="261" w:lineRule="auto"/>
        <w:ind w:right="0" w:hanging="791"/>
        <w:jc w:val="left"/>
      </w:pPr>
      <w:r>
        <w:rPr>
          <w:b/>
        </w:rPr>
        <w:t xml:space="preserve">FIRMA DEL DIRECTOR DE LA CARRERA </w:t>
      </w:r>
      <w:r>
        <w:t xml:space="preserve"> </w:t>
      </w:r>
    </w:p>
    <w:sectPr w:rsidR="00A13501">
      <w:footerReference w:type="even" r:id="rId13"/>
      <w:footerReference w:type="default" r:id="rId14"/>
      <w:footerReference w:type="first" r:id="rId15"/>
      <w:pgSz w:w="11905" w:h="16840"/>
      <w:pgMar w:top="1427" w:right="952" w:bottom="1468" w:left="1116" w:header="720" w:footer="3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7583C">
      <w:pPr>
        <w:spacing w:after="0" w:line="240" w:lineRule="auto"/>
      </w:pPr>
      <w:r>
        <w:separator/>
      </w:r>
    </w:p>
  </w:endnote>
  <w:endnote w:type="continuationSeparator" w:id="0">
    <w:p w:rsidR="00000000" w:rsidRDefault="00F7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01" w:rsidRDefault="00F7583C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  <w:r>
      <w:t xml:space="preserve"> </w:t>
    </w:r>
  </w:p>
  <w:p w:rsidR="00A13501" w:rsidRDefault="00F7583C">
    <w:pPr>
      <w:spacing w:after="0" w:line="259" w:lineRule="auto"/>
      <w:ind w:left="15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01" w:rsidRDefault="00F7583C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F7583C">
      <w:rPr>
        <w:noProof/>
        <w:sz w:val="24"/>
      </w:rPr>
      <w:t>9</w:t>
    </w:r>
    <w:r>
      <w:rPr>
        <w:sz w:val="24"/>
      </w:rPr>
      <w:fldChar w:fldCharType="end"/>
    </w:r>
    <w:r>
      <w:rPr>
        <w:sz w:val="24"/>
      </w:rPr>
      <w:t xml:space="preserve"> </w:t>
    </w:r>
    <w:r>
      <w:t xml:space="preserve"> </w:t>
    </w:r>
  </w:p>
  <w:p w:rsidR="00A13501" w:rsidRDefault="00F7583C">
    <w:pPr>
      <w:spacing w:after="0" w:line="259" w:lineRule="auto"/>
      <w:ind w:left="15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3501" w:rsidRDefault="00F7583C">
    <w:pPr>
      <w:spacing w:after="0" w:line="259" w:lineRule="auto"/>
      <w:ind w:left="0" w:right="173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  <w:r>
      <w:t xml:space="preserve"> </w:t>
    </w:r>
  </w:p>
  <w:p w:rsidR="00A13501" w:rsidRDefault="00F7583C">
    <w:pPr>
      <w:spacing w:after="0" w:line="259" w:lineRule="auto"/>
      <w:ind w:left="15" w:right="0" w:firstLine="0"/>
      <w:jc w:val="left"/>
    </w:pPr>
    <w:r>
      <w:rPr>
        <w:sz w:val="24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7583C">
      <w:pPr>
        <w:spacing w:after="0" w:line="240" w:lineRule="auto"/>
      </w:pPr>
      <w:r>
        <w:separator/>
      </w:r>
    </w:p>
  </w:footnote>
  <w:footnote w:type="continuationSeparator" w:id="0">
    <w:p w:rsidR="00000000" w:rsidRDefault="00F75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58D9"/>
    <w:multiLevelType w:val="hybridMultilevel"/>
    <w:tmpl w:val="8FCAB17C"/>
    <w:lvl w:ilvl="0" w:tplc="60681390">
      <w:start w:val="1"/>
      <w:numFmt w:val="decimal"/>
      <w:lvlText w:val="%1."/>
      <w:lvlJc w:val="left"/>
      <w:pPr>
        <w:ind w:left="7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2E99A2">
      <w:start w:val="1"/>
      <w:numFmt w:val="bullet"/>
      <w:lvlText w:val="•"/>
      <w:lvlJc w:val="left"/>
      <w:pPr>
        <w:ind w:left="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5163C26">
      <w:start w:val="1"/>
      <w:numFmt w:val="bullet"/>
      <w:lvlText w:val="▪"/>
      <w:lvlJc w:val="left"/>
      <w:pPr>
        <w:ind w:left="1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AA17E2">
      <w:start w:val="1"/>
      <w:numFmt w:val="bullet"/>
      <w:lvlText w:val="•"/>
      <w:lvlJc w:val="left"/>
      <w:pPr>
        <w:ind w:left="2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A0D694">
      <w:start w:val="1"/>
      <w:numFmt w:val="bullet"/>
      <w:lvlText w:val="o"/>
      <w:lvlJc w:val="left"/>
      <w:pPr>
        <w:ind w:left="2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D981D5C">
      <w:start w:val="1"/>
      <w:numFmt w:val="bullet"/>
      <w:lvlText w:val="▪"/>
      <w:lvlJc w:val="left"/>
      <w:pPr>
        <w:ind w:left="3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8415A2">
      <w:start w:val="1"/>
      <w:numFmt w:val="bullet"/>
      <w:lvlText w:val="•"/>
      <w:lvlJc w:val="left"/>
      <w:pPr>
        <w:ind w:left="4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E437EC">
      <w:start w:val="1"/>
      <w:numFmt w:val="bullet"/>
      <w:lvlText w:val="o"/>
      <w:lvlJc w:val="left"/>
      <w:pPr>
        <w:ind w:left="50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BAB17A">
      <w:start w:val="1"/>
      <w:numFmt w:val="bullet"/>
      <w:lvlText w:val="▪"/>
      <w:lvlJc w:val="left"/>
      <w:pPr>
        <w:ind w:left="57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E12C7"/>
    <w:multiLevelType w:val="hybridMultilevel"/>
    <w:tmpl w:val="FEC80954"/>
    <w:lvl w:ilvl="0" w:tplc="3924A90C">
      <w:start w:val="1"/>
      <w:numFmt w:val="bullet"/>
      <w:lvlText w:val="•"/>
      <w:lvlJc w:val="left"/>
      <w:pPr>
        <w:ind w:left="3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18F208">
      <w:start w:val="1"/>
      <w:numFmt w:val="bullet"/>
      <w:lvlText w:val="o"/>
      <w:lvlJc w:val="left"/>
      <w:pPr>
        <w:ind w:left="16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66C738">
      <w:start w:val="1"/>
      <w:numFmt w:val="bullet"/>
      <w:lvlText w:val="▪"/>
      <w:lvlJc w:val="left"/>
      <w:pPr>
        <w:ind w:left="23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B6A3CE">
      <w:start w:val="1"/>
      <w:numFmt w:val="bullet"/>
      <w:lvlText w:val="•"/>
      <w:lvlJc w:val="left"/>
      <w:pPr>
        <w:ind w:left="30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6239A">
      <w:start w:val="1"/>
      <w:numFmt w:val="bullet"/>
      <w:lvlText w:val="o"/>
      <w:lvlJc w:val="left"/>
      <w:pPr>
        <w:ind w:left="37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5AEC02">
      <w:start w:val="1"/>
      <w:numFmt w:val="bullet"/>
      <w:lvlText w:val="▪"/>
      <w:lvlJc w:val="left"/>
      <w:pPr>
        <w:ind w:left="45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FCF8F2">
      <w:start w:val="1"/>
      <w:numFmt w:val="bullet"/>
      <w:lvlText w:val="•"/>
      <w:lvlJc w:val="left"/>
      <w:pPr>
        <w:ind w:left="52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94431FA">
      <w:start w:val="1"/>
      <w:numFmt w:val="bullet"/>
      <w:lvlText w:val="o"/>
      <w:lvlJc w:val="left"/>
      <w:pPr>
        <w:ind w:left="59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EC25DE">
      <w:start w:val="1"/>
      <w:numFmt w:val="bullet"/>
      <w:lvlText w:val="▪"/>
      <w:lvlJc w:val="left"/>
      <w:pPr>
        <w:ind w:left="66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46A1726"/>
    <w:multiLevelType w:val="hybridMultilevel"/>
    <w:tmpl w:val="7D9E958C"/>
    <w:lvl w:ilvl="0" w:tplc="8D1E1C18">
      <w:start w:val="1"/>
      <w:numFmt w:val="bullet"/>
      <w:lvlText w:val="-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360310">
      <w:start w:val="1"/>
      <w:numFmt w:val="bullet"/>
      <w:lvlText w:val="o"/>
      <w:lvlJc w:val="left"/>
      <w:pPr>
        <w:ind w:left="1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3027048">
      <w:start w:val="1"/>
      <w:numFmt w:val="bullet"/>
      <w:lvlText w:val="▪"/>
      <w:lvlJc w:val="left"/>
      <w:pPr>
        <w:ind w:left="1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7902852">
      <w:start w:val="1"/>
      <w:numFmt w:val="bullet"/>
      <w:lvlText w:val="•"/>
      <w:lvlJc w:val="left"/>
      <w:pPr>
        <w:ind w:left="2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7C8ABA6">
      <w:start w:val="1"/>
      <w:numFmt w:val="bullet"/>
      <w:lvlText w:val="o"/>
      <w:lvlJc w:val="left"/>
      <w:pPr>
        <w:ind w:left="3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9E1700">
      <w:start w:val="1"/>
      <w:numFmt w:val="bullet"/>
      <w:lvlText w:val="▪"/>
      <w:lvlJc w:val="left"/>
      <w:pPr>
        <w:ind w:left="3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1D6B858">
      <w:start w:val="1"/>
      <w:numFmt w:val="bullet"/>
      <w:lvlText w:val="•"/>
      <w:lvlJc w:val="left"/>
      <w:pPr>
        <w:ind w:left="4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8C461E">
      <w:start w:val="1"/>
      <w:numFmt w:val="bullet"/>
      <w:lvlText w:val="o"/>
      <w:lvlJc w:val="left"/>
      <w:pPr>
        <w:ind w:left="5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CEAAEE">
      <w:start w:val="1"/>
      <w:numFmt w:val="bullet"/>
      <w:lvlText w:val="▪"/>
      <w:lvlJc w:val="left"/>
      <w:pPr>
        <w:ind w:left="6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81024"/>
    <w:multiLevelType w:val="hybridMultilevel"/>
    <w:tmpl w:val="B2DEA3DC"/>
    <w:lvl w:ilvl="0" w:tplc="D2EA1CE2">
      <w:start w:val="1"/>
      <w:numFmt w:val="bullet"/>
      <w:lvlText w:val="•"/>
      <w:lvlJc w:val="left"/>
      <w:pPr>
        <w:ind w:left="5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C78C966">
      <w:start w:val="1"/>
      <w:numFmt w:val="bullet"/>
      <w:lvlText w:val="o"/>
      <w:lvlJc w:val="left"/>
      <w:pPr>
        <w:ind w:left="12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96FBE0">
      <w:start w:val="1"/>
      <w:numFmt w:val="bullet"/>
      <w:lvlText w:val="▪"/>
      <w:lvlJc w:val="left"/>
      <w:pPr>
        <w:ind w:left="19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ECFD7E">
      <w:start w:val="1"/>
      <w:numFmt w:val="bullet"/>
      <w:lvlText w:val="•"/>
      <w:lvlJc w:val="left"/>
      <w:pPr>
        <w:ind w:left="27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A8DCCE">
      <w:start w:val="1"/>
      <w:numFmt w:val="bullet"/>
      <w:lvlText w:val="o"/>
      <w:lvlJc w:val="left"/>
      <w:pPr>
        <w:ind w:left="34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606798">
      <w:start w:val="1"/>
      <w:numFmt w:val="bullet"/>
      <w:lvlText w:val="▪"/>
      <w:lvlJc w:val="left"/>
      <w:pPr>
        <w:ind w:left="41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70A474">
      <w:start w:val="1"/>
      <w:numFmt w:val="bullet"/>
      <w:lvlText w:val="•"/>
      <w:lvlJc w:val="left"/>
      <w:pPr>
        <w:ind w:left="48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842228">
      <w:start w:val="1"/>
      <w:numFmt w:val="bullet"/>
      <w:lvlText w:val="o"/>
      <w:lvlJc w:val="left"/>
      <w:pPr>
        <w:ind w:left="55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CE91F4">
      <w:start w:val="1"/>
      <w:numFmt w:val="bullet"/>
      <w:lvlText w:val="▪"/>
      <w:lvlJc w:val="left"/>
      <w:pPr>
        <w:ind w:left="63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D220BE7"/>
    <w:multiLevelType w:val="hybridMultilevel"/>
    <w:tmpl w:val="88AA6A98"/>
    <w:lvl w:ilvl="0" w:tplc="DD6867CE">
      <w:start w:val="8"/>
      <w:numFmt w:val="decimal"/>
      <w:lvlText w:val="%1."/>
      <w:lvlJc w:val="left"/>
      <w:pPr>
        <w:ind w:left="7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E0B78E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A097A8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2437FA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5A168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5A1F44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7697FC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4A170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7A97E6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57A3FF8"/>
    <w:multiLevelType w:val="hybridMultilevel"/>
    <w:tmpl w:val="7F844E72"/>
    <w:lvl w:ilvl="0" w:tplc="EA64AC88">
      <w:start w:val="10"/>
      <w:numFmt w:val="decimal"/>
      <w:lvlText w:val="%1."/>
      <w:lvlJc w:val="left"/>
      <w:pPr>
        <w:ind w:left="7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76372E">
      <w:start w:val="1"/>
      <w:numFmt w:val="lowerLetter"/>
      <w:lvlText w:val="%2"/>
      <w:lvlJc w:val="left"/>
      <w:pPr>
        <w:ind w:left="10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364BD64">
      <w:start w:val="1"/>
      <w:numFmt w:val="lowerRoman"/>
      <w:lvlText w:val="%3"/>
      <w:lvlJc w:val="left"/>
      <w:pPr>
        <w:ind w:left="18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58B234">
      <w:start w:val="1"/>
      <w:numFmt w:val="decimal"/>
      <w:lvlText w:val="%4"/>
      <w:lvlJc w:val="left"/>
      <w:pPr>
        <w:ind w:left="25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2280C8">
      <w:start w:val="1"/>
      <w:numFmt w:val="lowerLetter"/>
      <w:lvlText w:val="%5"/>
      <w:lvlJc w:val="left"/>
      <w:pPr>
        <w:ind w:left="32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70261A">
      <w:start w:val="1"/>
      <w:numFmt w:val="lowerRoman"/>
      <w:lvlText w:val="%6"/>
      <w:lvlJc w:val="left"/>
      <w:pPr>
        <w:ind w:left="39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88BE30">
      <w:start w:val="1"/>
      <w:numFmt w:val="decimal"/>
      <w:lvlText w:val="%7"/>
      <w:lvlJc w:val="left"/>
      <w:pPr>
        <w:ind w:left="46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428D98">
      <w:start w:val="1"/>
      <w:numFmt w:val="lowerLetter"/>
      <w:lvlText w:val="%8"/>
      <w:lvlJc w:val="left"/>
      <w:pPr>
        <w:ind w:left="54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E2536E">
      <w:start w:val="1"/>
      <w:numFmt w:val="lowerRoman"/>
      <w:lvlText w:val="%9"/>
      <w:lvlJc w:val="left"/>
      <w:pPr>
        <w:ind w:left="61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C2645B4"/>
    <w:multiLevelType w:val="hybridMultilevel"/>
    <w:tmpl w:val="A93268D4"/>
    <w:lvl w:ilvl="0" w:tplc="1816505A">
      <w:start w:val="1"/>
      <w:numFmt w:val="bullet"/>
      <w:lvlText w:val="-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452BD38">
      <w:start w:val="1"/>
      <w:numFmt w:val="bullet"/>
      <w:lvlText w:val="•"/>
      <w:lvlJc w:val="left"/>
      <w:pPr>
        <w:ind w:left="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FF884EA">
      <w:start w:val="1"/>
      <w:numFmt w:val="bullet"/>
      <w:lvlText w:val="▪"/>
      <w:lvlJc w:val="left"/>
      <w:pPr>
        <w:ind w:left="2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DE309C">
      <w:start w:val="1"/>
      <w:numFmt w:val="bullet"/>
      <w:lvlText w:val="•"/>
      <w:lvlJc w:val="left"/>
      <w:pPr>
        <w:ind w:left="3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6E2042">
      <w:start w:val="1"/>
      <w:numFmt w:val="bullet"/>
      <w:lvlText w:val="o"/>
      <w:lvlJc w:val="left"/>
      <w:pPr>
        <w:ind w:left="3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A9FB6">
      <w:start w:val="1"/>
      <w:numFmt w:val="bullet"/>
      <w:lvlText w:val="▪"/>
      <w:lvlJc w:val="left"/>
      <w:pPr>
        <w:ind w:left="4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AA2E80">
      <w:start w:val="1"/>
      <w:numFmt w:val="bullet"/>
      <w:lvlText w:val="•"/>
      <w:lvlJc w:val="left"/>
      <w:pPr>
        <w:ind w:left="5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1843EA6">
      <w:start w:val="1"/>
      <w:numFmt w:val="bullet"/>
      <w:lvlText w:val="o"/>
      <w:lvlJc w:val="left"/>
      <w:pPr>
        <w:ind w:left="6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97252D8">
      <w:start w:val="1"/>
      <w:numFmt w:val="bullet"/>
      <w:lvlText w:val="▪"/>
      <w:lvlJc w:val="left"/>
      <w:pPr>
        <w:ind w:left="6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A7C413F"/>
    <w:multiLevelType w:val="hybridMultilevel"/>
    <w:tmpl w:val="8CAC1032"/>
    <w:lvl w:ilvl="0" w:tplc="AC3E32A0">
      <w:start w:val="14"/>
      <w:numFmt w:val="decimal"/>
      <w:lvlText w:val="%1."/>
      <w:lvlJc w:val="left"/>
      <w:pPr>
        <w:ind w:left="79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E0CDB0">
      <w:start w:val="1"/>
      <w:numFmt w:val="lowerLetter"/>
      <w:lvlText w:val="%2"/>
      <w:lvlJc w:val="left"/>
      <w:pPr>
        <w:ind w:left="10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A885F0">
      <w:start w:val="1"/>
      <w:numFmt w:val="lowerRoman"/>
      <w:lvlText w:val="%3"/>
      <w:lvlJc w:val="left"/>
      <w:pPr>
        <w:ind w:left="18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26A2A2">
      <w:start w:val="1"/>
      <w:numFmt w:val="decimal"/>
      <w:lvlText w:val="%4"/>
      <w:lvlJc w:val="left"/>
      <w:pPr>
        <w:ind w:left="25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24F516">
      <w:start w:val="1"/>
      <w:numFmt w:val="lowerLetter"/>
      <w:lvlText w:val="%5"/>
      <w:lvlJc w:val="left"/>
      <w:pPr>
        <w:ind w:left="32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36C468">
      <w:start w:val="1"/>
      <w:numFmt w:val="lowerRoman"/>
      <w:lvlText w:val="%6"/>
      <w:lvlJc w:val="left"/>
      <w:pPr>
        <w:ind w:left="39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9A80D0">
      <w:start w:val="1"/>
      <w:numFmt w:val="decimal"/>
      <w:lvlText w:val="%7"/>
      <w:lvlJc w:val="left"/>
      <w:pPr>
        <w:ind w:left="46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12E470">
      <w:start w:val="1"/>
      <w:numFmt w:val="lowerLetter"/>
      <w:lvlText w:val="%8"/>
      <w:lvlJc w:val="left"/>
      <w:pPr>
        <w:ind w:left="54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14813C">
      <w:start w:val="1"/>
      <w:numFmt w:val="lowerRoman"/>
      <w:lvlText w:val="%9"/>
      <w:lvlJc w:val="left"/>
      <w:pPr>
        <w:ind w:left="61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501"/>
    <w:rsid w:val="00A13501"/>
    <w:rsid w:val="00F75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D0D52"/>
  <w15:docId w15:val="{5118B0FA-7B32-48B4-A78A-1FE60BB99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5" w:lineRule="auto"/>
      <w:ind w:left="10" w:right="1736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1"/>
      <w:ind w:left="10" w:hanging="10"/>
      <w:outlineLvl w:val="0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2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tairenet.org/article151749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://www.voltairenet.org/article151749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ltairenet.org/article151749.htm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3031</Words>
  <Characters>16671</Characters>
  <Application>Microsoft Office Word</Application>
  <DocSecurity>0</DocSecurity>
  <Lines>138</Lines>
  <Paragraphs>39</Paragraphs>
  <ScaleCrop>false</ScaleCrop>
  <Company/>
  <LinksUpToDate>false</LinksUpToDate>
  <CharactersWithSpaces>19663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2026-09-24T15:42:00Z</dcterms:created>
  <dcterms:modified xsi:type="dcterms:W3CDTF">2026-09-24T15:42:00Z</dcterms:modified>
</cp:coreProperties>
</file>