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A80" w:rsidRDefault="00C10A8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85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5"/>
        <w:gridCol w:w="4458"/>
      </w:tblGrid>
      <w:tr w:rsidR="00C10A80">
        <w:trPr>
          <w:trHeight w:val="1954"/>
        </w:trPr>
        <w:tc>
          <w:tcPr>
            <w:tcW w:w="4395" w:type="dxa"/>
          </w:tcPr>
          <w:p w:rsidR="00C10A80" w:rsidRDefault="00F239A4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/>
              </w:rPr>
              <w:drawing>
                <wp:inline distT="0" distB="0" distL="114300" distR="114300" wp14:anchorId="283BE428" wp14:editId="1CACA195">
                  <wp:extent cx="562610" cy="71247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10A80" w:rsidRDefault="00F239A4" w:rsidP="00F239A4">
            <w:pPr>
              <w:tabs>
                <w:tab w:val="left" w:pos="888"/>
              </w:tabs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</w:t>
            </w:r>
            <w:r>
              <w:rPr>
                <w:b/>
                <w:bCs/>
                <w:sz w:val="22"/>
                <w:szCs w:val="22"/>
              </w:rPr>
              <w:t>UNIVERSIDAD DEL SALVADOR</w:t>
            </w:r>
          </w:p>
          <w:p w:rsidR="00F239A4" w:rsidRDefault="00F239A4" w:rsidP="00F239A4">
            <w:pPr>
              <w:ind w:hanging="2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Facultad de Ciencias Sociales, Educación</w:t>
            </w:r>
          </w:p>
          <w:p w:rsidR="00C10A80" w:rsidRDefault="00F239A4">
            <w:pPr>
              <w:ind w:hanging="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y Comunicación</w:t>
            </w:r>
          </w:p>
          <w:p w:rsidR="00C10A80" w:rsidRDefault="00C10A80">
            <w:pPr>
              <w:ind w:hanging="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C10A80" w:rsidRDefault="00C10A80">
            <w:pPr>
              <w:ind w:hanging="2"/>
              <w:jc w:val="center"/>
              <w:rPr>
                <w:sz w:val="22"/>
                <w:szCs w:val="22"/>
              </w:rPr>
            </w:pPr>
          </w:p>
          <w:p w:rsidR="00F239A4" w:rsidRDefault="00F239A4">
            <w:pPr>
              <w:ind w:hanging="2"/>
              <w:jc w:val="center"/>
              <w:rPr>
                <w:sz w:val="22"/>
                <w:szCs w:val="22"/>
              </w:rPr>
            </w:pPr>
          </w:p>
          <w:p w:rsidR="00F239A4" w:rsidRDefault="00F239A4">
            <w:pPr>
              <w:ind w:hanging="2"/>
              <w:jc w:val="center"/>
              <w:rPr>
                <w:sz w:val="22"/>
                <w:szCs w:val="22"/>
              </w:rPr>
            </w:pPr>
          </w:p>
          <w:p w:rsidR="00F239A4" w:rsidRDefault="00F239A4">
            <w:pPr>
              <w:ind w:hanging="2"/>
              <w:jc w:val="center"/>
              <w:rPr>
                <w:sz w:val="22"/>
                <w:szCs w:val="22"/>
              </w:rPr>
            </w:pPr>
          </w:p>
          <w:p w:rsidR="00F239A4" w:rsidRDefault="00F239A4">
            <w:pPr>
              <w:ind w:hanging="2"/>
              <w:jc w:val="center"/>
              <w:rPr>
                <w:sz w:val="22"/>
                <w:szCs w:val="22"/>
              </w:rPr>
            </w:pPr>
          </w:p>
          <w:p w:rsidR="00F239A4" w:rsidRDefault="00F239A4">
            <w:pPr>
              <w:ind w:hanging="2"/>
              <w:jc w:val="center"/>
              <w:rPr>
                <w:sz w:val="22"/>
                <w:szCs w:val="22"/>
              </w:rPr>
            </w:pPr>
          </w:p>
          <w:p w:rsidR="00F239A4" w:rsidRDefault="00F239A4" w:rsidP="00F239A4">
            <w:pPr>
              <w:ind w:firstLine="0"/>
              <w:rPr>
                <w:sz w:val="22"/>
                <w:szCs w:val="22"/>
              </w:rPr>
            </w:pPr>
          </w:p>
          <w:p w:rsidR="00F239A4" w:rsidRDefault="00F239A4" w:rsidP="00F239A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458" w:type="dxa"/>
          </w:tcPr>
          <w:p w:rsidR="00C10A80" w:rsidRDefault="00C10A80">
            <w:pPr>
              <w:ind w:hanging="2"/>
              <w:jc w:val="center"/>
              <w:rPr>
                <w:sz w:val="22"/>
                <w:szCs w:val="22"/>
              </w:rPr>
            </w:pPr>
          </w:p>
          <w:p w:rsidR="00C10A80" w:rsidRDefault="00C10A80">
            <w:pPr>
              <w:ind w:hanging="2"/>
              <w:jc w:val="center"/>
              <w:rPr>
                <w:sz w:val="22"/>
                <w:szCs w:val="22"/>
              </w:rPr>
            </w:pPr>
          </w:p>
          <w:p w:rsidR="00C10A80" w:rsidRDefault="00C10A80">
            <w:pPr>
              <w:ind w:hanging="2"/>
              <w:rPr>
                <w:sz w:val="22"/>
                <w:szCs w:val="22"/>
              </w:rPr>
            </w:pPr>
          </w:p>
          <w:p w:rsidR="00C10A80" w:rsidRDefault="00C10A80">
            <w:pPr>
              <w:ind w:hanging="2"/>
              <w:rPr>
                <w:sz w:val="22"/>
                <w:szCs w:val="22"/>
              </w:rPr>
            </w:pPr>
          </w:p>
          <w:p w:rsidR="00C10A80" w:rsidRDefault="00F239A4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</w:p>
          <w:p w:rsidR="00C10A80" w:rsidRPr="00F239A4" w:rsidRDefault="00F239A4">
            <w:pPr>
              <w:ind w:hanging="2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F239A4">
              <w:rPr>
                <w:b/>
                <w:i/>
                <w:sz w:val="22"/>
                <w:szCs w:val="22"/>
              </w:rPr>
              <w:t>Licenciatura en Ciencia Política</w:t>
            </w:r>
          </w:p>
          <w:p w:rsidR="00C10A80" w:rsidRPr="00F239A4" w:rsidRDefault="00C10A80">
            <w:pPr>
              <w:ind w:hanging="2"/>
              <w:rPr>
                <w:b/>
                <w:i/>
                <w:sz w:val="22"/>
                <w:szCs w:val="22"/>
              </w:rPr>
            </w:pPr>
          </w:p>
          <w:p w:rsidR="00C10A80" w:rsidRDefault="00C10A80">
            <w:pPr>
              <w:ind w:hanging="2"/>
              <w:rPr>
                <w:sz w:val="22"/>
                <w:szCs w:val="22"/>
              </w:rPr>
            </w:pPr>
          </w:p>
          <w:p w:rsidR="00C10A80" w:rsidRDefault="00F239A4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bookmarkStart w:id="0" w:name="_GoBack"/>
            <w:bookmarkEnd w:id="0"/>
          </w:p>
          <w:p w:rsidR="00C10A80" w:rsidRDefault="00C10A80">
            <w:pPr>
              <w:ind w:hanging="2"/>
              <w:rPr>
                <w:sz w:val="22"/>
                <w:szCs w:val="22"/>
              </w:rPr>
            </w:pPr>
          </w:p>
        </w:tc>
      </w:tr>
    </w:tbl>
    <w:p w:rsidR="00C10A80" w:rsidRPr="00F239A4" w:rsidRDefault="00F239A4" w:rsidP="00F239A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PROGRAMA 2026</w:t>
      </w:r>
    </w:p>
    <w:p w:rsidR="00C10A80" w:rsidRDefault="00C10A80">
      <w:pPr>
        <w:ind w:hanging="2"/>
        <w:jc w:val="center"/>
        <w:rPr>
          <w:sz w:val="22"/>
          <w:szCs w:val="22"/>
          <w:u w:val="single"/>
        </w:rPr>
      </w:pPr>
    </w:p>
    <w:tbl>
      <w:tblPr>
        <w:tblStyle w:val="a0"/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425"/>
        <w:gridCol w:w="2268"/>
        <w:gridCol w:w="1559"/>
      </w:tblGrid>
      <w:tr w:rsidR="00C10A80">
        <w:trPr>
          <w:trHeight w:val="460"/>
        </w:trPr>
        <w:tc>
          <w:tcPr>
            <w:tcW w:w="3828" w:type="dxa"/>
            <w:gridSpan w:val="5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ACTIVIDAD CURRICULAR:</w:t>
            </w:r>
          </w:p>
        </w:tc>
        <w:tc>
          <w:tcPr>
            <w:tcW w:w="4961" w:type="dxa"/>
            <w:gridSpan w:val="4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Seminario II: Prácticas y procesos electorales</w:t>
            </w:r>
          </w:p>
        </w:tc>
      </w:tr>
      <w:tr w:rsidR="00C10A80">
        <w:trPr>
          <w:trHeight w:val="460"/>
        </w:trPr>
        <w:tc>
          <w:tcPr>
            <w:tcW w:w="1357" w:type="dxa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CÁTEDRA:  </w:t>
            </w:r>
          </w:p>
        </w:tc>
        <w:tc>
          <w:tcPr>
            <w:tcW w:w="7432" w:type="dxa"/>
            <w:gridSpan w:val="8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 Claudio Hontackly/ Mg. Sofía Lazzari</w:t>
            </w:r>
          </w:p>
        </w:tc>
      </w:tr>
      <w:tr w:rsidR="00C10A80">
        <w:trPr>
          <w:trHeight w:val="460"/>
        </w:trPr>
        <w:tc>
          <w:tcPr>
            <w:tcW w:w="2032" w:type="dxa"/>
            <w:gridSpan w:val="3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MODALIDAD:</w:t>
            </w:r>
          </w:p>
        </w:tc>
        <w:tc>
          <w:tcPr>
            <w:tcW w:w="2930" w:type="dxa"/>
            <w:gridSpan w:val="4"/>
            <w:vAlign w:val="center"/>
          </w:tcPr>
          <w:p w:rsidR="00C10A80" w:rsidRDefault="00F239A4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268" w:type="dxa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AÑO ACADÉMICO:  </w:t>
            </w:r>
          </w:p>
        </w:tc>
        <w:tc>
          <w:tcPr>
            <w:tcW w:w="1559" w:type="dxa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C10A80">
        <w:trPr>
          <w:trHeight w:val="460"/>
        </w:trPr>
        <w:tc>
          <w:tcPr>
            <w:tcW w:w="3828" w:type="dxa"/>
            <w:gridSpan w:val="5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HORARIA SEMANAL:</w:t>
            </w:r>
          </w:p>
        </w:tc>
        <w:tc>
          <w:tcPr>
            <w:tcW w:w="1134" w:type="dxa"/>
            <w:gridSpan w:val="2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hs</w:t>
            </w:r>
          </w:p>
        </w:tc>
        <w:tc>
          <w:tcPr>
            <w:tcW w:w="2268" w:type="dxa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HORARIA TOTAL:</w:t>
            </w:r>
          </w:p>
        </w:tc>
        <w:tc>
          <w:tcPr>
            <w:tcW w:w="1559" w:type="dxa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hs</w:t>
            </w:r>
          </w:p>
        </w:tc>
      </w:tr>
      <w:tr w:rsidR="00C10A80">
        <w:trPr>
          <w:trHeight w:val="460"/>
        </w:trPr>
        <w:tc>
          <w:tcPr>
            <w:tcW w:w="3828" w:type="dxa"/>
            <w:gridSpan w:val="5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HORARIOS DE DICTADO/ ENCUENTROS SINCRÓNICOS:</w:t>
            </w:r>
          </w:p>
        </w:tc>
        <w:tc>
          <w:tcPr>
            <w:tcW w:w="4961" w:type="dxa"/>
            <w:gridSpan w:val="4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a 20 hs</w:t>
            </w:r>
          </w:p>
        </w:tc>
      </w:tr>
      <w:tr w:rsidR="00C10A80">
        <w:trPr>
          <w:trHeight w:val="460"/>
        </w:trPr>
        <w:tc>
          <w:tcPr>
            <w:tcW w:w="1357" w:type="dxa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gridSpan w:val="2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TURNO:</w:t>
            </w:r>
          </w:p>
        </w:tc>
        <w:tc>
          <w:tcPr>
            <w:tcW w:w="425" w:type="dxa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2268" w:type="dxa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SEDE:</w:t>
            </w:r>
          </w:p>
        </w:tc>
        <w:tc>
          <w:tcPr>
            <w:tcW w:w="1559" w:type="dxa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Sede Centro</w:t>
            </w:r>
          </w:p>
        </w:tc>
      </w:tr>
      <w:tr w:rsidR="00C10A80">
        <w:trPr>
          <w:trHeight w:val="460"/>
        </w:trPr>
        <w:tc>
          <w:tcPr>
            <w:tcW w:w="1927" w:type="dxa"/>
            <w:gridSpan w:val="2"/>
            <w:shd w:val="clear" w:color="auto" w:fill="93C47D"/>
            <w:vAlign w:val="center"/>
          </w:tcPr>
          <w:p w:rsidR="00C10A80" w:rsidRDefault="00F239A4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IDIOMA:</w:t>
            </w:r>
          </w:p>
        </w:tc>
        <w:tc>
          <w:tcPr>
            <w:tcW w:w="6862" w:type="dxa"/>
            <w:gridSpan w:val="7"/>
            <w:vAlign w:val="center"/>
          </w:tcPr>
          <w:p w:rsidR="00C10A80" w:rsidRDefault="00F239A4">
            <w:pPr>
              <w:ind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español</w:t>
            </w:r>
          </w:p>
        </w:tc>
      </w:tr>
    </w:tbl>
    <w:p w:rsidR="00C10A80" w:rsidRDefault="00C10A80">
      <w:pPr>
        <w:ind w:hanging="2"/>
      </w:pPr>
    </w:p>
    <w:p w:rsidR="00C10A80" w:rsidRDefault="00C10A80">
      <w:pPr>
        <w:ind w:hanging="2"/>
      </w:pPr>
    </w:p>
    <w:p w:rsidR="00C10A80" w:rsidRDefault="00F239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b/>
          <w:bCs/>
          <w:color w:val="000000"/>
        </w:rPr>
      </w:pPr>
      <w:r>
        <w:rPr>
          <w:b/>
          <w:bCs/>
          <w:color w:val="000000"/>
        </w:rPr>
        <w:t>Presentación</w:t>
      </w:r>
    </w:p>
    <w:p w:rsidR="00C10A80" w:rsidRDefault="00F239A4">
      <w:pPr>
        <w:spacing w:after="160"/>
        <w:ind w:left="360" w:firstLine="0"/>
        <w:jc w:val="both"/>
      </w:pPr>
      <w:r>
        <w:br/>
        <w:t>América Latina se destaca por su dinamismo político. Las elecciones en la región no son meras formalidades institucionales: son espacios donde se expresan y dirimen tensiones fundamentales, tales como la desigualdad, la representación de mi</w:t>
      </w:r>
      <w:r>
        <w:t>norías, el financiamiento político, el liderazgo personalista y la búsqueda de legitimidad democrática. Este seminario propone un recorrido intenso por los sistemas electorales de América Latina con una perspectiva amplia que va más allá del análisis de un</w:t>
      </w:r>
      <w:r>
        <w:t xml:space="preserve"> solo país, con el fin de ofrecer una visión regional. Buscamos entender cómo las reglas electorales, los actores políticos y los contextos sociales e históricos impactan en el funcionamiento de las democracias. A través del estudio de casos concretos, ide</w:t>
      </w:r>
      <w:r>
        <w:t>ntificaremos tanto problemas comunes como experiencias particulares de diferentes países, brindando herramientas para analizar la realidad política actual de la región.</w:t>
      </w:r>
    </w:p>
    <w:p w:rsidR="00C10A80" w:rsidRDefault="00F239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  <w:r>
        <w:rPr>
          <w:b/>
          <w:bCs/>
          <w:color w:val="000000"/>
        </w:rPr>
        <w:t>Objetivos del Seminario</w:t>
      </w:r>
      <w:r>
        <w:rPr>
          <w:color w:val="000000"/>
        </w:rPr>
        <w:br/>
      </w:r>
    </w:p>
    <w:p w:rsidR="00C10A80" w:rsidRDefault="00F239A4">
      <w:pPr>
        <w:spacing w:after="160"/>
        <w:ind w:left="360" w:firstLine="0"/>
        <w:jc w:val="both"/>
      </w:pPr>
      <w:r>
        <w:lastRenderedPageBreak/>
        <w:t>Los estudiantes podrán:</w:t>
      </w:r>
    </w:p>
    <w:p w:rsidR="00C10A80" w:rsidRDefault="00F239A4">
      <w:pPr>
        <w:numPr>
          <w:ilvl w:val="0"/>
          <w:numId w:val="1"/>
        </w:numPr>
        <w:spacing w:after="160"/>
        <w:jc w:val="both"/>
      </w:pPr>
      <w:r>
        <w:t>Conocer los diferentes tipos de sistemas electorales vigentes en América Latina y comprender cómo influyen en la organización partidaria y la gobernabilidad.</w:t>
      </w:r>
    </w:p>
    <w:p w:rsidR="00C10A80" w:rsidRDefault="00F239A4">
      <w:pPr>
        <w:numPr>
          <w:ilvl w:val="0"/>
          <w:numId w:val="1"/>
        </w:numPr>
        <w:spacing w:after="160"/>
        <w:jc w:val="both"/>
      </w:pPr>
      <w:r>
        <w:t>Reflexionar sobre los desafíos compartidos por la región, como el financiamiento político, la inclusión de minorías, el rol de los medios de comunicación y el creciente papel del poder judicial en asuntos políticos.</w:t>
      </w:r>
    </w:p>
    <w:p w:rsidR="00C10A80" w:rsidRDefault="00F239A4">
      <w:pPr>
        <w:numPr>
          <w:ilvl w:val="0"/>
          <w:numId w:val="1"/>
        </w:numPr>
        <w:spacing w:after="160"/>
        <w:jc w:val="both"/>
      </w:pPr>
      <w:r>
        <w:t>Analizar, a través de experiencias espec</w:t>
      </w:r>
      <w:r>
        <w:t>íficas, los aciertos y dificultades de diferentes modelos institucionales en países como Argentina, México, Brasil, Colombia, Chile, Perú y Bolivia.</w:t>
      </w:r>
    </w:p>
    <w:p w:rsidR="00C10A80" w:rsidRDefault="00F239A4">
      <w:pPr>
        <w:numPr>
          <w:ilvl w:val="0"/>
          <w:numId w:val="1"/>
        </w:numPr>
        <w:spacing w:after="160"/>
        <w:jc w:val="both"/>
      </w:pPr>
      <w:r>
        <w:t>Desarrollar la capacidad de pensar en reformas políticas que sean realistas y adaptadas a cada contexto, fu</w:t>
      </w:r>
      <w:r>
        <w:t>ndamentadas en la observación y el análisis de casos del mundo real.</w:t>
      </w:r>
    </w:p>
    <w:p w:rsidR="00C10A80" w:rsidRDefault="00C10A80">
      <w:pPr>
        <w:ind w:firstLine="0"/>
        <w:jc w:val="both"/>
        <w:rPr>
          <w:b/>
          <w:bCs/>
        </w:rPr>
      </w:pPr>
    </w:p>
    <w:p w:rsidR="00C10A80" w:rsidRDefault="00F239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bCs/>
          <w:color w:val="000000"/>
        </w:rPr>
        <w:t>Unidades temáticas, contenidos y bibliografía:</w:t>
      </w:r>
    </w:p>
    <w:p w:rsidR="00C10A80" w:rsidRDefault="00C10A80">
      <w:p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b/>
          <w:bCs/>
          <w:color w:val="000000"/>
          <w:sz w:val="22"/>
          <w:szCs w:val="22"/>
        </w:rPr>
      </w:pPr>
    </w:p>
    <w:p w:rsidR="00C10A80" w:rsidRDefault="00F239A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3"/>
        </w:tabs>
        <w:spacing w:before="276" w:line="240" w:lineRule="auto"/>
        <w:ind w:left="142" w:firstLine="0"/>
        <w:jc w:val="both"/>
      </w:pPr>
      <w:r>
        <w:rPr>
          <w:color w:val="000000"/>
        </w:rPr>
        <w:t>Introducción: conceptos generales y aproximación a la temática. ¿En qué consiste el proceso electoral? Nociones del Derecho Electoral. Organización y autoridades electorales. Concepto de régimen federal y provincial. Simultaneidad. Organismos interviniente</w:t>
      </w:r>
      <w:r>
        <w:rPr>
          <w:color w:val="000000"/>
        </w:rPr>
        <w:t>s en el proceso electoral. Participación Política: a nivel subnacional, nacional y en el mundo. Evolución histórica del concepto de representación, representantes y representados/as. Umbrales históricos. Componentes de los procesos electorales. Definicione</w:t>
      </w:r>
      <w:r>
        <w:rPr>
          <w:color w:val="000000"/>
        </w:rPr>
        <w:t xml:space="preserve">s. Atributos que los componen. Confección de boletas en el mundo: Efectos sobre el votante. Modalidades de voto. Ventajas y desventajas. Análisis de experiencias actuales. </w:t>
      </w:r>
    </w:p>
    <w:p w:rsidR="00C10A80" w:rsidRDefault="00C10A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3"/>
        </w:tabs>
        <w:spacing w:before="276" w:line="240" w:lineRule="auto"/>
        <w:ind w:left="142" w:firstLine="0"/>
        <w:jc w:val="both"/>
        <w:rPr>
          <w:color w:val="000000"/>
        </w:rPr>
      </w:pP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29"/>
        </w:tabs>
        <w:spacing w:line="240" w:lineRule="auto"/>
        <w:ind w:firstLine="0"/>
        <w:jc w:val="both"/>
      </w:pPr>
      <w:r>
        <w:rPr>
          <w:color w:val="000000"/>
        </w:rPr>
        <w:t>Goncalves Figueiredo, Hernán R. 2013. “Manual de Derecho Electoral”, Di Lalla Edic</w:t>
      </w:r>
      <w:r>
        <w:rPr>
          <w:color w:val="000000"/>
        </w:rPr>
        <w:t>iones, Buenos Aires: 21-43. - Artículo académico “Las reformas electorales deben potenciar los sistemas de controles cruzados”.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29"/>
        </w:tabs>
        <w:spacing w:line="240" w:lineRule="auto"/>
        <w:ind w:firstLine="0"/>
        <w:jc w:val="both"/>
      </w:pPr>
      <w:r>
        <w:rPr>
          <w:color w:val="000000"/>
        </w:rPr>
        <w:t>Barrientos del Monte, Fernando. 2010. “Confianza en las elecciones y el rol de los organismos electorales en América Latina”, </w:t>
      </w:r>
      <w:r>
        <w:rPr>
          <w:i/>
          <w:iCs/>
          <w:color w:val="000000"/>
        </w:rPr>
        <w:t>Re</w:t>
      </w:r>
      <w:r>
        <w:rPr>
          <w:i/>
          <w:iCs/>
          <w:color w:val="000000"/>
        </w:rPr>
        <w:t>vista de Derecho Electoral</w:t>
      </w:r>
      <w:r>
        <w:rPr>
          <w:color w:val="000000"/>
        </w:rPr>
        <w:t>, 10: 1-35, Tribunal Supremo de Elecciones (Costa Rica).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2"/>
        </w:tabs>
        <w:spacing w:line="240" w:lineRule="auto"/>
        <w:ind w:left="142" w:firstLine="0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Lipset, Seymour M. &amp; Stein Rokkan. “Estructuras de División, Sistemas de Partidos y Alineamientos Electorales.” En </w:t>
      </w:r>
      <w:r>
        <w:rPr>
          <w:i/>
          <w:iCs/>
          <w:color w:val="000000"/>
        </w:rPr>
        <w:t>Diez textos básicos de ciencia política</w:t>
      </w:r>
      <w:r>
        <w:rPr>
          <w:color w:val="000000"/>
        </w:rPr>
        <w:t>, ed. Albert Battle, 231-266. Barcelona, España: Editorial Ariel S.A., 2001.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10"/>
        </w:tabs>
        <w:spacing w:line="240" w:lineRule="auto"/>
        <w:ind w:firstLine="0"/>
        <w:jc w:val="both"/>
      </w:pPr>
      <w:r>
        <w:rPr>
          <w:color w:val="000000"/>
        </w:rPr>
        <w:t>De Luca, Miguel. 2010. “Elecciones y sistemas electorales”, en Luis Aznar y Miguel De Luca (compiladores), Política. Cuestiones y problemas, Editorial Cengage, Buenos Aires.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line="240" w:lineRule="auto"/>
        <w:ind w:firstLine="0"/>
      </w:pPr>
      <w:r>
        <w:rPr>
          <w:color w:val="000000"/>
        </w:rPr>
        <w:t>Przew</w:t>
      </w:r>
      <w:r>
        <w:rPr>
          <w:color w:val="000000"/>
        </w:rPr>
        <w:t>orski, Adam. 2019. “¿Por qué tomarse la molestia de hacer elecciones?” Editorial Siglo XXI, Buenos Aires.</w:t>
      </w:r>
    </w:p>
    <w:p w:rsidR="00C10A80" w:rsidRDefault="00C10A80">
      <w:pPr>
        <w:widowControl w:val="0"/>
        <w:tabs>
          <w:tab w:val="left" w:pos="329"/>
        </w:tabs>
        <w:spacing w:line="240" w:lineRule="auto"/>
        <w:ind w:left="141" w:firstLine="0"/>
        <w:jc w:val="both"/>
      </w:pPr>
    </w:p>
    <w:p w:rsidR="00C10A80" w:rsidRDefault="00F239A4">
      <w:pPr>
        <w:widowControl w:val="0"/>
        <w:tabs>
          <w:tab w:val="left" w:pos="329"/>
        </w:tabs>
        <w:spacing w:line="240" w:lineRule="auto"/>
        <w:ind w:firstLine="0"/>
        <w:jc w:val="both"/>
      </w:pPr>
      <w:r>
        <w:rPr>
          <w:u w:val="single"/>
        </w:rPr>
        <w:t>Actividad práctica 1 en clase:</w:t>
      </w:r>
      <w:r>
        <w:t xml:space="preserve"> Ingresar a los sitios web de los organismos electorales de: Venezuela, México, Perú, Paraguay, Argentina, y dar ejemplos sobre las siguientes funciones: i) De Gestión Electoral; ii) De Control; iii) De Justicia Electoral (Según </w:t>
      </w:r>
      <w:r>
        <w:lastRenderedPageBreak/>
        <w:t>Barrientos del Monte, 2010)</w:t>
      </w:r>
      <w:r>
        <w:t xml:space="preserve">.  </w:t>
      </w:r>
    </w:p>
    <w:p w:rsidR="00C10A80" w:rsidRDefault="00F239A4">
      <w:pPr>
        <w:widowControl w:val="0"/>
        <w:tabs>
          <w:tab w:val="left" w:pos="329"/>
        </w:tabs>
        <w:spacing w:line="240" w:lineRule="auto"/>
        <w:ind w:firstLine="0"/>
        <w:jc w:val="both"/>
      </w:pPr>
      <w:r>
        <w:rPr>
          <w:u w:val="single"/>
        </w:rPr>
        <w:t>Actividad práctica 2 en clase:</w:t>
      </w:r>
      <w:r>
        <w:t xml:space="preserve"> Ingresar a: </w:t>
      </w:r>
      <w:hyperlink r:id="rId9">
        <w:r>
          <w:rPr>
            <w:color w:val="0563C1"/>
            <w:u w:val="single"/>
          </w:rPr>
          <w:t>https://www.idea.int/es/data-tools/data/disposiciones-electorales-especiales</w:t>
        </w:r>
      </w:hyperlink>
      <w:r>
        <w:t xml:space="preserve"> y elegir una de las 4 variantes de votación:</w:t>
      </w:r>
    </w:p>
    <w:p w:rsidR="00C10A80" w:rsidRDefault="00F239A4">
      <w:pPr>
        <w:widowControl w:val="0"/>
        <w:numPr>
          <w:ilvl w:val="1"/>
          <w:numId w:val="4"/>
        </w:numPr>
        <w:tabs>
          <w:tab w:val="left" w:pos="329"/>
        </w:tabs>
        <w:spacing w:line="240" w:lineRule="auto"/>
        <w:jc w:val="both"/>
      </w:pPr>
      <w:r>
        <w:t>Votación postal en el país</w:t>
      </w:r>
    </w:p>
    <w:p w:rsidR="00C10A80" w:rsidRDefault="00F239A4">
      <w:pPr>
        <w:widowControl w:val="0"/>
        <w:numPr>
          <w:ilvl w:val="1"/>
          <w:numId w:val="4"/>
        </w:numPr>
        <w:tabs>
          <w:tab w:val="left" w:pos="329"/>
        </w:tabs>
        <w:spacing w:line="240" w:lineRule="auto"/>
        <w:jc w:val="both"/>
      </w:pPr>
      <w:r>
        <w:t>Votación anticipada</w:t>
      </w:r>
    </w:p>
    <w:p w:rsidR="00C10A80" w:rsidRDefault="00F239A4">
      <w:pPr>
        <w:widowControl w:val="0"/>
        <w:numPr>
          <w:ilvl w:val="1"/>
          <w:numId w:val="4"/>
        </w:numPr>
        <w:tabs>
          <w:tab w:val="left" w:pos="329"/>
        </w:tabs>
        <w:spacing w:line="240" w:lineRule="auto"/>
        <w:jc w:val="both"/>
      </w:pPr>
      <w:r>
        <w:t>Urna móvil</w:t>
      </w:r>
    </w:p>
    <w:p w:rsidR="00C10A80" w:rsidRDefault="00F239A4">
      <w:pPr>
        <w:widowControl w:val="0"/>
        <w:numPr>
          <w:ilvl w:val="1"/>
          <w:numId w:val="4"/>
        </w:numPr>
        <w:tabs>
          <w:tab w:val="left" w:pos="329"/>
        </w:tabs>
        <w:spacing w:line="240" w:lineRule="auto"/>
        <w:jc w:val="both"/>
      </w:pPr>
      <w:r>
        <w:t>Votación por poder</w:t>
      </w:r>
    </w:p>
    <w:p w:rsidR="00C10A80" w:rsidRDefault="00F239A4">
      <w:pPr>
        <w:widowControl w:val="0"/>
        <w:tabs>
          <w:tab w:val="left" w:pos="329"/>
        </w:tabs>
        <w:spacing w:line="240" w:lineRule="auto"/>
        <w:ind w:left="141" w:firstLine="0"/>
        <w:jc w:val="both"/>
      </w:pPr>
      <w:r>
        <w:t xml:space="preserve">Analizar la información estadística brindada y exponer las principales conclusiones en clase. </w:t>
      </w:r>
    </w:p>
    <w:p w:rsidR="00C10A80" w:rsidRDefault="00C10A80">
      <w:pPr>
        <w:widowControl w:val="0"/>
        <w:tabs>
          <w:tab w:val="left" w:pos="423"/>
          <w:tab w:val="left" w:pos="861"/>
        </w:tabs>
        <w:spacing w:before="272" w:line="240" w:lineRule="auto"/>
        <w:ind w:hanging="2"/>
        <w:jc w:val="both"/>
      </w:pPr>
    </w:p>
    <w:p w:rsidR="00C10A80" w:rsidRDefault="00F239A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line="240" w:lineRule="auto"/>
        <w:ind w:left="0" w:hanging="2"/>
        <w:jc w:val="both"/>
      </w:pPr>
      <w:r>
        <w:rPr>
          <w:color w:val="000000"/>
        </w:rPr>
        <w:t>Financiamiento político. Clasificacio</w:t>
      </w:r>
      <w:r>
        <w:rPr>
          <w:color w:val="000000"/>
        </w:rPr>
        <w:t xml:space="preserve">nes. Evolución de la legislación argentina: lineamientos comunes. Naturaleza de aportes privados y públicos. ¿Cómo se distribuyen? ¿Quién los controla? ¿Cómo se controlan? </w:t>
      </w:r>
      <w:r>
        <w:rPr>
          <w:i/>
          <w:iCs/>
          <w:color w:val="000000"/>
        </w:rPr>
        <w:t>(</w:t>
      </w:r>
      <w:r>
        <w:rPr>
          <w:b/>
          <w:bCs/>
          <w:i/>
          <w:iCs/>
          <w:color w:val="000000"/>
        </w:rPr>
        <w:t>2 días de clases de 3 hs cada una)</w:t>
      </w:r>
    </w:p>
    <w:p w:rsidR="00C10A80" w:rsidRDefault="00C10A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line="240" w:lineRule="auto"/>
        <w:ind w:firstLine="0"/>
        <w:jc w:val="both"/>
        <w:rPr>
          <w:color w:val="000000"/>
        </w:rPr>
      </w:pP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line="240" w:lineRule="auto"/>
        <w:ind w:firstLine="0"/>
        <w:jc w:val="both"/>
      </w:pPr>
      <w:r>
        <w:rPr>
          <w:color w:val="000000"/>
        </w:rPr>
        <w:t>Corcuera, Santiago. 2011. “Financiamiento de los partidos políticos en Argentina” en Gutiérrez, Pablo y Zovatto, Daniel (coordinadores), Instituto de Investigaciones Jurídicas, México: 71-91.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34"/>
        </w:tabs>
        <w:spacing w:line="240" w:lineRule="auto"/>
        <w:ind w:firstLine="0"/>
        <w:jc w:val="both"/>
      </w:pPr>
      <w:r>
        <w:rPr>
          <w:color w:val="000000"/>
        </w:rPr>
        <w:t>Zovatto, D. y Griner, S. 2004. “De las normas a las buenas práct</w:t>
      </w:r>
      <w:r>
        <w:rPr>
          <w:color w:val="000000"/>
        </w:rPr>
        <w:t>icas. Una lectura regional comparada del financiamiento de los partidos políticos y las campañas electorales de América Latina” International Institute for Democracy and Electoral Assistance: 297-342.</w:t>
      </w:r>
    </w:p>
    <w:p w:rsidR="00C10A80" w:rsidRDefault="00C10A80">
      <w:pPr>
        <w:ind w:hanging="2"/>
        <w:jc w:val="both"/>
      </w:pPr>
    </w:p>
    <w:p w:rsidR="00C10A80" w:rsidRDefault="00F239A4">
      <w:pPr>
        <w:ind w:hanging="2"/>
        <w:jc w:val="both"/>
      </w:pPr>
      <w:r>
        <w:rPr>
          <w:u w:val="single"/>
        </w:rPr>
        <w:t>Actividad práctica 1</w:t>
      </w:r>
      <w:r>
        <w:t xml:space="preserve">: Mediante el fallo "Incidente de </w:t>
      </w:r>
      <w:r>
        <w:t xml:space="preserve">apelación en autos caratulados "Incidente de control patrimonial Partido Nacionalista Constitucional - orden nacional” (Expte. 3486/01 CNE), responder una serie de preguntas en clase. </w:t>
      </w:r>
    </w:p>
    <w:p w:rsidR="00C10A80" w:rsidRDefault="00C10A80">
      <w:pPr>
        <w:ind w:hanging="2"/>
        <w:jc w:val="both"/>
      </w:pPr>
    </w:p>
    <w:p w:rsidR="00C10A80" w:rsidRDefault="00C10A80">
      <w:pPr>
        <w:ind w:hanging="2"/>
        <w:jc w:val="both"/>
      </w:pPr>
    </w:p>
    <w:p w:rsidR="00C10A80" w:rsidRDefault="00F239A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0" w:firstLine="0"/>
        <w:jc w:val="both"/>
      </w:pPr>
      <w:r>
        <w:rPr>
          <w:color w:val="000000"/>
        </w:rPr>
        <w:t xml:space="preserve">Inclusión de minorías. Cupos. Discriminación positiva. Efectos sobre el sistema de partidos. Diferentes tipos de cupos: Cupo indígena, joven y femenino. </w:t>
      </w:r>
    </w:p>
    <w:p w:rsidR="00C10A80" w:rsidRDefault="00C10A80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color w:val="000000"/>
        </w:rPr>
      </w:pP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1"/>
        </w:tabs>
        <w:spacing w:line="240" w:lineRule="auto"/>
        <w:ind w:firstLine="0"/>
        <w:jc w:val="both"/>
      </w:pPr>
      <w:r>
        <w:rPr>
          <w:color w:val="000000"/>
        </w:rPr>
        <w:t>Del Cogliano, N. y Degiustti, D. “La nueva Ley de Paridad de Género en Argentina: Antecedentes y Desa</w:t>
      </w:r>
      <w:r>
        <w:rPr>
          <w:color w:val="000000"/>
        </w:rPr>
        <w:t>fíos” Observatorio Político Electoral – Documento de Trabajo n° 1.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8"/>
        </w:tabs>
        <w:spacing w:before="1" w:line="240" w:lineRule="auto"/>
        <w:ind w:firstLine="0"/>
        <w:jc w:val="both"/>
      </w:pPr>
      <w:r>
        <w:rPr>
          <w:color w:val="000000"/>
        </w:rPr>
        <w:t>Larserud, S. y Taphorn, R. 2007. “Diseño para lograr la igualdad. Combinaciones más idóneas, medianamente idóneas y no favorables de los sistemas electorales y cuotas de género”, International IDEA, Estocolmo.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4"/>
        </w:tabs>
        <w:spacing w:line="240" w:lineRule="auto"/>
        <w:ind w:firstLine="60"/>
        <w:jc w:val="both"/>
      </w:pPr>
      <w:r>
        <w:rPr>
          <w:color w:val="000000"/>
        </w:rPr>
        <w:t>Tula, M. “Reformas político-electorales y géne</w:t>
      </w:r>
      <w:r>
        <w:rPr>
          <w:color w:val="000000"/>
        </w:rPr>
        <w:t>ro en América Latina. Perspectivas de consolidación y desafíos pendientes”. Organización de Estados Americanos (OEA)</w:t>
      </w:r>
    </w:p>
    <w:p w:rsidR="00C10A80" w:rsidRDefault="00C10A80">
      <w:pPr>
        <w:ind w:hanging="2"/>
        <w:jc w:val="both"/>
        <w:rPr>
          <w:u w:val="single"/>
        </w:rPr>
      </w:pPr>
    </w:p>
    <w:p w:rsidR="00C10A80" w:rsidRDefault="00F239A4">
      <w:pPr>
        <w:ind w:hanging="2"/>
        <w:jc w:val="both"/>
      </w:pPr>
      <w:r>
        <w:rPr>
          <w:u w:val="single"/>
        </w:rPr>
        <w:t>Actividad en clase:</w:t>
      </w:r>
      <w:r>
        <w:t xml:space="preserve"> Utilizando las categorías de Larserud y Taphorn (2007), analizar los cupos de Bolivia, Venezuela, Perú. </w:t>
      </w:r>
    </w:p>
    <w:p w:rsidR="00C10A80" w:rsidRDefault="00C10A80">
      <w:pPr>
        <w:ind w:hanging="2"/>
        <w:jc w:val="both"/>
      </w:pPr>
    </w:p>
    <w:p w:rsidR="00C10A80" w:rsidRDefault="00F239A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</w:tabs>
        <w:spacing w:line="240" w:lineRule="auto"/>
        <w:ind w:left="0" w:firstLine="0"/>
        <w:jc w:val="both"/>
      </w:pPr>
      <w:r>
        <w:rPr>
          <w:color w:val="000000"/>
        </w:rPr>
        <w:t>Selección de candidaturas. Clasificaciones. Variables que inciden. Resultados de procesos inclusivos o excluyentes. Tipologías.</w:t>
      </w:r>
      <w:r>
        <w:rPr>
          <w:i/>
          <w:iCs/>
          <w:color w:val="000000"/>
        </w:rPr>
        <w:t xml:space="preserve"> </w:t>
      </w:r>
    </w:p>
    <w:p w:rsidR="00C10A80" w:rsidRDefault="00C10A80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color w:val="000000"/>
        </w:rPr>
      </w:pPr>
    </w:p>
    <w:p w:rsidR="00C10A80" w:rsidRDefault="00F239A4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color w:val="000000"/>
        </w:rPr>
      </w:pPr>
      <w:r>
        <w:rPr>
          <w:color w:val="000000"/>
        </w:rPr>
        <w:t>Bibliografía: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91"/>
        </w:tabs>
        <w:spacing w:line="240" w:lineRule="auto"/>
        <w:ind w:firstLine="0"/>
      </w:pPr>
      <w:r>
        <w:rPr>
          <w:color w:val="000000"/>
        </w:rPr>
        <w:t xml:space="preserve">D´Alessandro, M. “Selección de candidatos y campañas electorales a partir de la </w:t>
      </w:r>
      <w:r>
        <w:rPr>
          <w:color w:val="000000"/>
        </w:rPr>
        <w:lastRenderedPageBreak/>
        <w:t>reforma política en Argentina en 2009” OEA-UNAM.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line="240" w:lineRule="auto"/>
        <w:ind w:firstLine="0"/>
        <w:rPr>
          <w:color w:val="000000"/>
        </w:rPr>
      </w:pPr>
      <w:r>
        <w:rPr>
          <w:color w:val="000000"/>
        </w:rPr>
        <w:t>De Luca, M., Jones, M. y Tula, M. “Back Rooms or Ballot Boxes? Candidate Nomination in Argentina”. Comparative Political Studies, 2002.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79"/>
        </w:tabs>
        <w:spacing w:line="240" w:lineRule="auto"/>
        <w:ind w:left="279" w:hanging="138"/>
      </w:pPr>
      <w:r>
        <w:rPr>
          <w:color w:val="000000"/>
        </w:rPr>
        <w:t>Documento OEA “Procesos de Selección de Candidaturas”.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firstLine="0"/>
        <w:jc w:val="both"/>
      </w:pPr>
      <w:r>
        <w:rPr>
          <w:color w:val="000000"/>
        </w:rPr>
        <w:t>Freidenberg, F. “La reina de las reformas: las selecciones intern</w:t>
      </w:r>
      <w:r>
        <w:rPr>
          <w:color w:val="000000"/>
        </w:rPr>
        <w:t>as a las candidaturas presidenciales en América Latina” 2015. En: Flavia Freidenberg y Betilde Munoz-- Pogossian. Las Reformas Políticas a las Organizaciones de Partidos. México: INE, TEPJF, OEA, Instituto de Iberoamérica y SAAP.</w:t>
      </w:r>
    </w:p>
    <w:p w:rsidR="00C10A80" w:rsidRDefault="00F239A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before="1" w:line="240" w:lineRule="auto"/>
        <w:ind w:firstLine="0"/>
        <w:jc w:val="both"/>
      </w:pPr>
      <w:r>
        <w:rPr>
          <w:color w:val="000000"/>
        </w:rPr>
        <w:t>Rahat, Gideon, y Reuven Hazan. 2001. “Selección de candidatos: métodos y consecuencias”, en Freindenberg, Flavia y Manuel Alcántara Sáez. 2009. Selección de candidatos, política partidista y rendimiento democrático, Tribunal Electoral del Distrito Federal,</w:t>
      </w:r>
      <w:r>
        <w:rPr>
          <w:color w:val="000000"/>
        </w:rPr>
        <w:t xml:space="preserve"> México DF).</w:t>
      </w:r>
    </w:p>
    <w:p w:rsidR="00C10A80" w:rsidRDefault="00C10A80">
      <w:pPr>
        <w:ind w:hanging="2"/>
        <w:jc w:val="both"/>
      </w:pPr>
    </w:p>
    <w:p w:rsidR="00C10A80" w:rsidRDefault="00F239A4">
      <w:pPr>
        <w:ind w:hanging="2"/>
        <w:jc w:val="both"/>
      </w:pPr>
      <w:r>
        <w:rPr>
          <w:u w:val="single"/>
        </w:rPr>
        <w:t>Actividad práctica final en clase:</w:t>
      </w:r>
      <w:r>
        <w:t xml:space="preserve"> Juego de simulación en grupos. Cada grupo es un partido político ficticio con determinadas características. Deberán diseñar su sistema de selección de candidatos para la próxima elección presidencial. Expone</w:t>
      </w:r>
      <w:r>
        <w:t xml:space="preserve">r en clase y justificar su decisión. </w:t>
      </w:r>
    </w:p>
    <w:sectPr w:rsidR="00C10A8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239A4">
      <w:pPr>
        <w:spacing w:line="240" w:lineRule="auto"/>
      </w:pPr>
      <w:r>
        <w:separator/>
      </w:r>
    </w:p>
  </w:endnote>
  <w:endnote w:type="continuationSeparator" w:id="0">
    <w:p w:rsidR="00000000" w:rsidRDefault="00F239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4C4E225-184E-42B0-9441-04808F59D2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51CA4FA-E557-44E2-90AA-9169757BBF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2B0DD5B-7196-476D-87C7-BDBC923FFF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A80" w:rsidRDefault="00C10A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A80" w:rsidRDefault="00F239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C10A80" w:rsidRDefault="00C10A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A80" w:rsidRDefault="00C10A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239A4">
      <w:pPr>
        <w:spacing w:line="240" w:lineRule="auto"/>
      </w:pPr>
      <w:r>
        <w:separator/>
      </w:r>
    </w:p>
  </w:footnote>
  <w:footnote w:type="continuationSeparator" w:id="0">
    <w:p w:rsidR="00000000" w:rsidRDefault="00F239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A80" w:rsidRDefault="00C10A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A80" w:rsidRDefault="00C10A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A80" w:rsidRDefault="00C10A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66551"/>
    <w:multiLevelType w:val="multilevel"/>
    <w:tmpl w:val="4EFA47F4"/>
    <w:lvl w:ilvl="0">
      <w:start w:val="1"/>
      <w:numFmt w:val="decimal"/>
      <w:lvlText w:val="%1."/>
      <w:lvlJc w:val="left"/>
      <w:pPr>
        <w:ind w:left="861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/>
      </w:rPr>
    </w:lvl>
    <w:lvl w:ilvl="2">
      <w:numFmt w:val="bullet"/>
      <w:lvlText w:val="-"/>
      <w:lvlJc w:val="left"/>
      <w:pPr>
        <w:ind w:left="861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3">
      <w:numFmt w:val="bullet"/>
      <w:lvlText w:val="•"/>
      <w:lvlJc w:val="left"/>
      <w:pPr>
        <w:ind w:left="2905" w:hanging="140"/>
      </w:pPr>
    </w:lvl>
    <w:lvl w:ilvl="4">
      <w:numFmt w:val="bullet"/>
      <w:lvlText w:val="•"/>
      <w:lvlJc w:val="left"/>
      <w:pPr>
        <w:ind w:left="3928" w:hanging="140"/>
      </w:pPr>
    </w:lvl>
    <w:lvl w:ilvl="5">
      <w:numFmt w:val="bullet"/>
      <w:lvlText w:val="•"/>
      <w:lvlJc w:val="left"/>
      <w:pPr>
        <w:ind w:left="4950" w:hanging="140"/>
      </w:pPr>
    </w:lvl>
    <w:lvl w:ilvl="6">
      <w:numFmt w:val="bullet"/>
      <w:lvlText w:val="•"/>
      <w:lvlJc w:val="left"/>
      <w:pPr>
        <w:ind w:left="5973" w:hanging="140"/>
      </w:pPr>
    </w:lvl>
    <w:lvl w:ilvl="7">
      <w:numFmt w:val="bullet"/>
      <w:lvlText w:val="•"/>
      <w:lvlJc w:val="left"/>
      <w:pPr>
        <w:ind w:left="6996" w:hanging="140"/>
      </w:pPr>
    </w:lvl>
    <w:lvl w:ilvl="8">
      <w:numFmt w:val="bullet"/>
      <w:lvlText w:val="•"/>
      <w:lvlJc w:val="left"/>
      <w:pPr>
        <w:ind w:left="8018" w:hanging="140"/>
      </w:pPr>
    </w:lvl>
  </w:abstractNum>
  <w:abstractNum w:abstractNumId="1" w15:restartNumberingAfterBreak="0">
    <w:nsid w:val="4CAD49FF"/>
    <w:multiLevelType w:val="multilevel"/>
    <w:tmpl w:val="2228C68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E3EB0"/>
    <w:multiLevelType w:val="multilevel"/>
    <w:tmpl w:val="62E6A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FBA0ACE"/>
    <w:multiLevelType w:val="multilevel"/>
    <w:tmpl w:val="421C87E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A80"/>
    <w:rsid w:val="00C10A80"/>
    <w:rsid w:val="00F2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9CCF"/>
  <w15:docId w15:val="{21912E89-FD04-4B66-BFE1-545D4C1B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" w:eastAsia="es-AR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dea.int/es/data-tools/data/disposiciones-electorales-especiales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jFi6udEtNGkUDEiad1BN/ddwyw==">CgMxLjA4AHIhMUg5cmI2SnFxODA4NE5hUG5CMEVwd25DRkZRNm8teGI4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1193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 Aya Tenorio - Cs. Sociales</dc:creator>
  <cp:lastModifiedBy>Lucio Aya Tenorio - Cs. Sociales</cp:lastModifiedBy>
  <cp:revision>2</cp:revision>
  <dcterms:created xsi:type="dcterms:W3CDTF">2026-09-01T16:18:00Z</dcterms:created>
  <dcterms:modified xsi:type="dcterms:W3CDTF">2026-09-01T16:18:00Z</dcterms:modified>
</cp:coreProperties>
</file>