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35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B53B76">
        <w:trPr>
          <w:trHeight w:val="1696"/>
        </w:trPr>
        <w:tc>
          <w:tcPr>
            <w:tcW w:w="5670" w:type="dxa"/>
          </w:tcPr>
          <w:p w:rsidR="00B53B76" w:rsidRDefault="005A5F9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>
              <w:rPr>
                <w:noProof/>
                <w:lang w:val="es-AR" w:eastAsia="es-AR"/>
              </w:rPr>
              <w:drawing>
                <wp:inline distT="0" distB="0" distL="0" distR="0">
                  <wp:extent cx="562610" cy="71247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53B76" w:rsidRDefault="005A5F9C" w:rsidP="005A5F9C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UNIVERSIDAD DEL SALVADOR</w:t>
            </w:r>
          </w:p>
          <w:p w:rsidR="00B53B76" w:rsidRDefault="005A5F9C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</w:t>
            </w:r>
            <w:r>
              <w:rPr>
                <w:b/>
                <w:i/>
                <w:sz w:val="22"/>
                <w:szCs w:val="22"/>
              </w:rPr>
              <w:t xml:space="preserve">Facultad de Ciencias Sociales, Educación </w:t>
            </w:r>
          </w:p>
          <w:p w:rsidR="00B53B76" w:rsidRDefault="005A5F9C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</w:t>
            </w:r>
            <w:r>
              <w:rPr>
                <w:b/>
                <w:i/>
                <w:sz w:val="22"/>
                <w:szCs w:val="22"/>
              </w:rPr>
              <w:t xml:space="preserve">      y Comunicación </w:t>
            </w:r>
          </w:p>
        </w:tc>
        <w:tc>
          <w:tcPr>
            <w:tcW w:w="5565" w:type="dxa"/>
          </w:tcPr>
          <w:p w:rsidR="00B53B76" w:rsidRDefault="00B53B76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B53B76" w:rsidRDefault="00B53B76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B53B76" w:rsidRDefault="00B53B76">
            <w:pPr>
              <w:ind w:left="0" w:hanging="2"/>
              <w:rPr>
                <w:sz w:val="22"/>
                <w:szCs w:val="22"/>
              </w:rPr>
            </w:pPr>
          </w:p>
          <w:p w:rsidR="00B53B76" w:rsidRDefault="00B53B76">
            <w:pPr>
              <w:ind w:left="0" w:hanging="2"/>
              <w:rPr>
                <w:sz w:val="22"/>
                <w:szCs w:val="22"/>
              </w:rPr>
            </w:pPr>
          </w:p>
          <w:p w:rsidR="00B53B76" w:rsidRDefault="00B53B76">
            <w:pPr>
              <w:ind w:left="0" w:hanging="2"/>
              <w:rPr>
                <w:sz w:val="22"/>
                <w:szCs w:val="22"/>
              </w:rPr>
            </w:pPr>
          </w:p>
          <w:p w:rsidR="00B53B76" w:rsidRDefault="00B53B76">
            <w:pPr>
              <w:ind w:left="0" w:hanging="2"/>
              <w:rPr>
                <w:sz w:val="22"/>
                <w:szCs w:val="22"/>
              </w:rPr>
            </w:pPr>
          </w:p>
          <w:p w:rsidR="005A5F9C" w:rsidRPr="005A5F9C" w:rsidRDefault="005A5F9C" w:rsidP="005A5F9C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5A5F9C">
              <w:rPr>
                <w:b/>
                <w:i/>
                <w:sz w:val="22"/>
                <w:szCs w:val="22"/>
              </w:rPr>
              <w:t>Lic. en Periodismo Deportivo</w:t>
            </w:r>
            <w:r w:rsidRPr="005A5F9C">
              <w:rPr>
                <w:b/>
                <w:i/>
                <w:sz w:val="22"/>
                <w:szCs w:val="22"/>
              </w:rPr>
              <w:br/>
            </w:r>
          </w:p>
          <w:p w:rsidR="00B53B76" w:rsidRDefault="00B53B76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B53B76" w:rsidRDefault="00B53B76">
      <w:pPr>
        <w:ind w:left="0" w:hanging="2"/>
        <w:rPr>
          <w:sz w:val="22"/>
          <w:szCs w:val="22"/>
        </w:rPr>
      </w:pPr>
      <w:bookmarkStart w:id="0" w:name="_GoBack"/>
      <w:bookmarkEnd w:id="0"/>
    </w:p>
    <w:p w:rsidR="005A5F9C" w:rsidRDefault="005A5F9C">
      <w:pPr>
        <w:ind w:left="0" w:hanging="2"/>
        <w:rPr>
          <w:sz w:val="22"/>
          <w:szCs w:val="22"/>
        </w:rPr>
      </w:pPr>
    </w:p>
    <w:p w:rsidR="005A5F9C" w:rsidRDefault="005A5F9C">
      <w:pPr>
        <w:ind w:left="0" w:hanging="2"/>
        <w:rPr>
          <w:sz w:val="22"/>
          <w:szCs w:val="22"/>
        </w:rPr>
      </w:pPr>
    </w:p>
    <w:p w:rsidR="005A5F9C" w:rsidRDefault="005A5F9C">
      <w:pPr>
        <w:ind w:left="0" w:hanging="2"/>
        <w:rPr>
          <w:sz w:val="22"/>
          <w:szCs w:val="22"/>
        </w:rPr>
      </w:pPr>
    </w:p>
    <w:p w:rsidR="005A5F9C" w:rsidRDefault="005A5F9C">
      <w:pPr>
        <w:ind w:left="0" w:hanging="2"/>
        <w:rPr>
          <w:sz w:val="22"/>
          <w:szCs w:val="22"/>
        </w:rPr>
      </w:pPr>
    </w:p>
    <w:p w:rsidR="005A5F9C" w:rsidRDefault="005A5F9C">
      <w:pPr>
        <w:ind w:left="0" w:hanging="2"/>
        <w:rPr>
          <w:sz w:val="22"/>
          <w:szCs w:val="22"/>
        </w:rPr>
      </w:pPr>
    </w:p>
    <w:p w:rsidR="005A5F9C" w:rsidRDefault="005A5F9C">
      <w:pPr>
        <w:ind w:left="0" w:hanging="2"/>
        <w:rPr>
          <w:sz w:val="22"/>
          <w:szCs w:val="22"/>
        </w:rPr>
      </w:pPr>
    </w:p>
    <w:p w:rsidR="00B53B76" w:rsidRPr="005A5F9C" w:rsidRDefault="005A5F9C" w:rsidP="005A5F9C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2026</w:t>
      </w:r>
    </w:p>
    <w:p w:rsidR="00B53B76" w:rsidRDefault="00B53B76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W w:w="9787" w:type="dxa"/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4"/>
        <w:gridCol w:w="1411"/>
        <w:gridCol w:w="385"/>
        <w:gridCol w:w="710"/>
        <w:gridCol w:w="1529"/>
        <w:gridCol w:w="2070"/>
        <w:gridCol w:w="1651"/>
      </w:tblGrid>
      <w:tr w:rsidR="00B53B76">
        <w:trPr>
          <w:trHeight w:val="460"/>
        </w:trPr>
        <w:tc>
          <w:tcPr>
            <w:tcW w:w="3827" w:type="dxa"/>
            <w:gridSpan w:val="5"/>
            <w:tcBorders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60" w:type="dxa"/>
            <w:gridSpan w:val="4"/>
            <w:tcBorders>
              <w:bottom w:val="single" w:sz="4" w:space="0" w:color="6AA84F"/>
              <w:right w:val="single" w:sz="4" w:space="0" w:color="000000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Curso Práctico</w:t>
            </w:r>
          </w:p>
        </w:tc>
      </w:tr>
      <w:tr w:rsidR="00B53B76">
        <w:trPr>
          <w:trHeight w:val="460"/>
        </w:trPr>
        <w:tc>
          <w:tcPr>
            <w:tcW w:w="1357" w:type="dxa"/>
            <w:tcBorders>
              <w:top w:val="single" w:sz="4" w:space="0" w:color="6AA84F"/>
              <w:bottom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Prácticas Profesionales II</w:t>
            </w:r>
          </w:p>
        </w:tc>
      </w:tr>
      <w:tr w:rsidR="00B53B76">
        <w:trPr>
          <w:trHeight w:val="460"/>
        </w:trPr>
        <w:tc>
          <w:tcPr>
            <w:tcW w:w="2031" w:type="dxa"/>
            <w:gridSpan w:val="3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vAlign w:val="center"/>
          </w:tcPr>
          <w:p w:rsidR="00B53B76" w:rsidRDefault="005A5F9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bottom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1" w:type="dxa"/>
            <w:tcBorders>
              <w:top w:val="single" w:sz="4" w:space="0" w:color="6AA84F"/>
              <w:bottom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B53B76">
        <w:trPr>
          <w:trHeight w:val="460"/>
        </w:trPr>
        <w:tc>
          <w:tcPr>
            <w:tcW w:w="3827" w:type="dxa"/>
            <w:gridSpan w:val="5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bottom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1" w:type="dxa"/>
            <w:tcBorders>
              <w:top w:val="single" w:sz="4" w:space="0" w:color="6AA84F"/>
              <w:bottom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 w:rsidR="00B53B76">
        <w:trPr>
          <w:trHeight w:val="460"/>
        </w:trPr>
        <w:tc>
          <w:tcPr>
            <w:tcW w:w="3827" w:type="dxa"/>
            <w:gridSpan w:val="5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</w:t>
            </w:r>
            <w:r>
              <w:rPr>
                <w:b/>
                <w:sz w:val="20"/>
                <w:szCs w:val="20"/>
              </w:rPr>
              <w:t xml:space="preserve"> ENCUENTROS SINCRÓNICOS:</w:t>
            </w:r>
          </w:p>
        </w:tc>
        <w:tc>
          <w:tcPr>
            <w:tcW w:w="5960" w:type="dxa"/>
            <w:gridSpan w:val="4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 las horas presenciales y/o actividades sincrónicas)</w:t>
            </w:r>
          </w:p>
        </w:tc>
      </w:tr>
      <w:tr w:rsidR="00B53B76">
        <w:trPr>
          <w:trHeight w:val="460"/>
        </w:trPr>
        <w:tc>
          <w:tcPr>
            <w:tcW w:w="1357" w:type="dxa"/>
            <w:tcBorders>
              <w:top w:val="single" w:sz="4" w:space="0" w:color="6AA84F"/>
              <w:bottom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bottom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29" w:type="dxa"/>
            <w:tcBorders>
              <w:top w:val="single" w:sz="4" w:space="0" w:color="6AA84F"/>
              <w:bottom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2070" w:type="dxa"/>
            <w:tcBorders>
              <w:top w:val="single" w:sz="4" w:space="0" w:color="6AA84F"/>
              <w:bottom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1" w:type="dxa"/>
            <w:tcBorders>
              <w:top w:val="single" w:sz="4" w:space="0" w:color="6AA84F"/>
              <w:bottom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B53B76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</w:t>
            </w:r>
          </w:p>
        </w:tc>
      </w:tr>
      <w:tr w:rsidR="00B53B76">
        <w:trPr>
          <w:trHeight w:val="460"/>
        </w:trPr>
        <w:tc>
          <w:tcPr>
            <w:tcW w:w="1357" w:type="dxa"/>
            <w:tcBorders>
              <w:top w:val="single" w:sz="4" w:space="0" w:color="6AA84F"/>
              <w:bottom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bottom w:val="single" w:sz="4" w:space="0" w:color="6AA84F"/>
              <w:right w:val="single" w:sz="4" w:space="0" w:color="000000"/>
            </w:tcBorders>
            <w:vAlign w:val="center"/>
          </w:tcPr>
          <w:p w:rsidR="00B53B76" w:rsidRDefault="005A5F9C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:rsidR="00B53B76" w:rsidRDefault="00B53B76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:rsidR="00B53B76" w:rsidRDefault="005A5F9C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:rsidR="00B53B76" w:rsidRDefault="00B53B76">
      <w:pPr>
        <w:ind w:left="0" w:hanging="2"/>
        <w:jc w:val="both"/>
        <w:rPr>
          <w:i/>
          <w:sz w:val="20"/>
          <w:szCs w:val="20"/>
        </w:rPr>
      </w:pPr>
    </w:p>
    <w:tbl>
      <w:tblPr>
        <w:tblW w:w="4780" w:type="dxa"/>
        <w:jc w:val="center"/>
        <w:tblLayout w:type="fixed"/>
        <w:tblLook w:val="0000" w:firstRow="0" w:lastRow="0" w:firstColumn="0" w:lastColumn="0" w:noHBand="0" w:noVBand="0"/>
      </w:tblPr>
      <w:tblGrid>
        <w:gridCol w:w="937"/>
        <w:gridCol w:w="571"/>
        <w:gridCol w:w="2729"/>
        <w:gridCol w:w="543"/>
      </w:tblGrid>
      <w:tr w:rsidR="00B53B76">
        <w:trPr>
          <w:trHeight w:val="454"/>
          <w:jc w:val="center"/>
        </w:trPr>
        <w:tc>
          <w:tcPr>
            <w:tcW w:w="93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1" w:type="dxa"/>
            <w:tcBorders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2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3" w:type="dxa"/>
            <w:tcBorders>
              <w:left w:val="single" w:sz="4" w:space="0" w:color="6AA84F"/>
              <w:bottom w:val="single" w:sz="4" w:space="0" w:color="6AA84F"/>
            </w:tcBorders>
            <w:vAlign w:val="center"/>
          </w:tcPr>
          <w:p w:rsidR="00B53B76" w:rsidRDefault="00B53B7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tbl>
      <w:tblPr>
        <w:tblW w:w="886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B53B76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B53B76" w:rsidRDefault="005A5F9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B53B76" w:rsidRDefault="005A5F9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B53B76" w:rsidRDefault="005A5F9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B53B76">
        <w:trPr>
          <w:trHeight w:val="465"/>
        </w:trPr>
        <w:tc>
          <w:tcPr>
            <w:tcW w:w="4005" w:type="dxa"/>
            <w:tcBorders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B53B76" w:rsidRDefault="005A5F9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 Rodrigo Castro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</w:tcPr>
          <w:p w:rsidR="00B53B76" w:rsidRDefault="005A5F9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Auxiliar a cargo</w:t>
            </w:r>
          </w:p>
        </w:tc>
        <w:tc>
          <w:tcPr>
            <w:tcW w:w="2985" w:type="dxa"/>
            <w:tcBorders>
              <w:bottom w:val="single" w:sz="8" w:space="0" w:color="000000"/>
              <w:right w:val="single" w:sz="8" w:space="0" w:color="000000"/>
            </w:tcBorders>
          </w:tcPr>
          <w:p w:rsidR="00B53B76" w:rsidRDefault="005A5F9C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rodrigo.castro@usal.edu.ar</w:t>
            </w:r>
          </w:p>
        </w:tc>
      </w:tr>
      <w:tr w:rsidR="00B53B76">
        <w:trPr>
          <w:trHeight w:val="465"/>
        </w:trPr>
        <w:tc>
          <w:tcPr>
            <w:tcW w:w="4005" w:type="dxa"/>
            <w:tcBorders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B53B76" w:rsidRDefault="005A5F9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</w:tcPr>
          <w:p w:rsidR="00B53B76" w:rsidRDefault="00B53B7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bottom w:val="single" w:sz="8" w:space="0" w:color="000000"/>
              <w:right w:val="single" w:sz="8" w:space="0" w:color="000000"/>
            </w:tcBorders>
          </w:tcPr>
          <w:p w:rsidR="00B53B76" w:rsidRDefault="00B53B76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B53B76">
        <w:trPr>
          <w:trHeight w:val="195"/>
        </w:trPr>
        <w:tc>
          <w:tcPr>
            <w:tcW w:w="4005" w:type="dxa"/>
            <w:tcBorders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B53B76" w:rsidRDefault="00B53B7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</w:tcPr>
          <w:p w:rsidR="00B53B76" w:rsidRDefault="00B53B76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bottom w:val="single" w:sz="8" w:space="0" w:color="000000"/>
              <w:right w:val="single" w:sz="8" w:space="0" w:color="000000"/>
            </w:tcBorders>
          </w:tcPr>
          <w:p w:rsidR="00B53B76" w:rsidRDefault="00B53B76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:rsidR="00B53B76" w:rsidRDefault="005A5F9C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tbl>
      <w:tblPr>
        <w:tblW w:w="886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84"/>
        <w:gridCol w:w="4481"/>
      </w:tblGrid>
      <w:tr w:rsidR="00B53B76">
        <w:trPr>
          <w:trHeight w:val="465"/>
        </w:trPr>
        <w:tc>
          <w:tcPr>
            <w:tcW w:w="4384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B53B76" w:rsidRDefault="005A5F9C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:rsidR="00B53B76" w:rsidRDefault="005A5F9C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 xml:space="preserve">(Completar si la materia </w:t>
            </w:r>
            <w:r>
              <w:rPr>
                <w:i/>
                <w:sz w:val="18"/>
                <w:szCs w:val="18"/>
              </w:rPr>
              <w:t>tiene carga horaria a distancia)</w:t>
            </w:r>
          </w:p>
        </w:tc>
        <w:tc>
          <w:tcPr>
            <w:tcW w:w="4481" w:type="dxa"/>
            <w:tcBorders>
              <w:top w:val="single" w:sz="8" w:space="0" w:color="000000"/>
              <w:bottom w:val="single" w:sz="8" w:space="0" w:color="000000"/>
              <w:right w:val="single" w:sz="8" w:space="0" w:color="38761D"/>
            </w:tcBorders>
          </w:tcPr>
          <w:p w:rsidR="00B53B76" w:rsidRDefault="00B53B76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:rsidR="00B53B76" w:rsidRDefault="005A5F9C">
      <w:pPr>
        <w:ind w:left="0" w:hanging="2"/>
        <w:jc w:val="both"/>
        <w:rPr>
          <w:i/>
          <w:color w:val="4A452A"/>
          <w:sz w:val="20"/>
          <w:szCs w:val="20"/>
        </w:rPr>
      </w:pPr>
      <w:r>
        <w:rPr>
          <w:i/>
          <w:color w:val="4A452A"/>
          <w:sz w:val="20"/>
          <w:szCs w:val="20"/>
        </w:rPr>
        <w:t xml:space="preserve">La Práctica Profesional, con los fundamentos teóricos aprendidos, comprende la inclusión </w:t>
      </w:r>
      <w:r>
        <w:rPr>
          <w:i/>
          <w:color w:val="4A452A"/>
          <w:sz w:val="20"/>
          <w:szCs w:val="20"/>
        </w:rPr>
        <w:t>del alumno en el ámbito de trabajo. Enfrentar al estudiante a situaciones que serán parte del campo laboral, con el fin de que pueda, una vez finalizado el curso, resolver favorablemente con las herramientas necesarias y adquiridas.</w:t>
      </w:r>
    </w:p>
    <w:p w:rsidR="00B53B76" w:rsidRDefault="00B53B76">
      <w:pPr>
        <w:ind w:left="0" w:hanging="2"/>
        <w:jc w:val="both"/>
        <w:rPr>
          <w:i/>
          <w:color w:val="4A452A"/>
          <w:sz w:val="20"/>
          <w:szCs w:val="20"/>
        </w:rPr>
      </w:pPr>
    </w:p>
    <w:p w:rsidR="00B53B76" w:rsidRDefault="005A5F9C">
      <w:pPr>
        <w:ind w:left="0" w:hanging="2"/>
        <w:jc w:val="both"/>
        <w:rPr>
          <w:i/>
          <w:color w:val="4A452A"/>
          <w:sz w:val="20"/>
          <w:szCs w:val="20"/>
        </w:rPr>
      </w:pPr>
      <w:r>
        <w:rPr>
          <w:i/>
          <w:color w:val="4A452A"/>
          <w:sz w:val="20"/>
          <w:szCs w:val="20"/>
        </w:rPr>
        <w:t>En este sentido, el de</w:t>
      </w:r>
      <w:r>
        <w:rPr>
          <w:i/>
          <w:color w:val="4A452A"/>
          <w:sz w:val="20"/>
          <w:szCs w:val="20"/>
        </w:rPr>
        <w:t>porte brinda un gran caudal de posibilidades y requiere un amplio conocimiento para encarar la vida laboral. En cada una de las unidades de estudio, el alumno irá desarrollando esa capacidad con encuentros dinámicos y de interacción.</w:t>
      </w:r>
    </w:p>
    <w:p w:rsidR="00B53B76" w:rsidRDefault="00B53B76">
      <w:pPr>
        <w:ind w:left="0" w:hanging="2"/>
        <w:jc w:val="both"/>
        <w:rPr>
          <w:i/>
          <w:color w:val="4A452A"/>
          <w:sz w:val="20"/>
          <w:szCs w:val="20"/>
        </w:rPr>
      </w:pPr>
    </w:p>
    <w:p w:rsidR="00B53B76" w:rsidRDefault="005A5F9C">
      <w:pPr>
        <w:ind w:left="0" w:hanging="2"/>
        <w:jc w:val="both"/>
      </w:pPr>
      <w:r>
        <w:rPr>
          <w:i/>
          <w:color w:val="4A452A"/>
          <w:sz w:val="20"/>
          <w:szCs w:val="20"/>
        </w:rPr>
        <w:t>Asimismo, el alumno d</w:t>
      </w:r>
      <w:r>
        <w:rPr>
          <w:i/>
          <w:color w:val="4A452A"/>
          <w:sz w:val="20"/>
          <w:szCs w:val="20"/>
        </w:rPr>
        <w:t>eberá resolver en los diferentes roles que puede brindar la profesión. Exponer al estudiante a las situaciones en el marco correspondiente será vital para su desempeño en el campo. Además, la posibilidad de ampliar el panorama y ver las opciones, muy varia</w:t>
      </w:r>
      <w:r>
        <w:rPr>
          <w:i/>
          <w:color w:val="4A452A"/>
          <w:sz w:val="20"/>
          <w:szCs w:val="20"/>
        </w:rPr>
        <w:t>das, que brindan medios tradicionales y nuevas tecnologías.</w:t>
      </w:r>
    </w:p>
    <w:p w:rsidR="00B53B76" w:rsidRDefault="00B53B76">
      <w:pPr>
        <w:ind w:left="0" w:hanging="2"/>
        <w:jc w:val="both"/>
        <w:rPr>
          <w:b/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Que el alumno: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- Conozca los roles que se pueden desempeñar en la profesión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- Sea capaz de participar con éxito de eventos deportivos 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- Que experimente la mayor </w:t>
      </w:r>
      <w:r>
        <w:rPr>
          <w:i/>
          <w:color w:val="4A442A"/>
          <w:sz w:val="20"/>
          <w:szCs w:val="20"/>
        </w:rPr>
        <w:t>cantidad de roles para descubrir su deseo profesional</w:t>
      </w:r>
    </w:p>
    <w:p w:rsidR="00B53B76" w:rsidRDefault="005A5F9C">
      <w:pPr>
        <w:ind w:left="0" w:hanging="2"/>
        <w:jc w:val="both"/>
        <w:rPr>
          <w:b/>
          <w:color w:val="FF0000"/>
          <w:sz w:val="20"/>
          <w:szCs w:val="20"/>
        </w:rPr>
      </w:pPr>
      <w:r>
        <w:rPr>
          <w:i/>
          <w:color w:val="4A442A"/>
          <w:sz w:val="20"/>
          <w:szCs w:val="20"/>
        </w:rPr>
        <w:t>- Produzca, ejecute y presente trabajos periodísticos profesionales</w:t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:rsidR="00B53B76" w:rsidRDefault="005A5F9C">
      <w:pP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 </w:t>
      </w:r>
    </w:p>
    <w:tbl>
      <w:tblPr>
        <w:tblW w:w="8011" w:type="dxa"/>
        <w:jc w:val="center"/>
        <w:tblLayout w:type="fixed"/>
        <w:tblLook w:val="0000" w:firstRow="0" w:lastRow="0" w:firstColumn="0" w:lastColumn="0" w:noHBand="0" w:noVBand="0"/>
      </w:tblPr>
      <w:tblGrid>
        <w:gridCol w:w="4905"/>
        <w:gridCol w:w="1045"/>
        <w:gridCol w:w="1025"/>
        <w:gridCol w:w="1036"/>
      </w:tblGrid>
      <w:tr w:rsidR="00B53B76">
        <w:trPr>
          <w:trHeight w:val="348"/>
          <w:jc w:val="center"/>
        </w:trPr>
        <w:tc>
          <w:tcPr>
            <w:tcW w:w="4905" w:type="dxa"/>
            <w:tcBorders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B53B76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02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B53B7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 xml:space="preserve">(precisar: presencial - mediante </w:t>
            </w:r>
            <w:r>
              <w:rPr>
                <w:sz w:val="20"/>
                <w:szCs w:val="20"/>
              </w:rPr>
              <w:t>videoconferencia)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03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B53B7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B53B76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B53B76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B53B76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B53B7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B53B76" w:rsidRDefault="005A5F9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B53B76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03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B53B76" w:rsidRDefault="005A5F9C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</w:tbl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:rsidR="00B53B76" w:rsidRDefault="005A5F9C">
      <w:pPr>
        <w:spacing w:line="240" w:lineRule="auto"/>
        <w:ind w:left="0" w:hanging="2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-</w:t>
      </w:r>
      <w:r>
        <w:rPr>
          <w:i/>
          <w:color w:val="4A442A"/>
          <w:sz w:val="20"/>
          <w:szCs w:val="20"/>
        </w:rPr>
        <w:tab/>
        <w:t xml:space="preserve">Portugal, Mario y Yudchak, </w:t>
      </w:r>
      <w:r>
        <w:rPr>
          <w:i/>
          <w:color w:val="4A442A"/>
          <w:sz w:val="20"/>
          <w:szCs w:val="20"/>
        </w:rPr>
        <w:t>Héctor; “Producción de Radio. Hablan los especialistas”, Editorial Continente, 2011.</w:t>
      </w:r>
    </w:p>
    <w:p w:rsidR="00B53B76" w:rsidRDefault="005A5F9C">
      <w:pPr>
        <w:spacing w:line="240" w:lineRule="auto"/>
        <w:ind w:left="0" w:hanging="2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-</w:t>
      </w:r>
      <w:r>
        <w:rPr>
          <w:i/>
          <w:color w:val="4A442A"/>
          <w:sz w:val="20"/>
          <w:szCs w:val="20"/>
        </w:rPr>
        <w:tab/>
        <w:t>Zanoni, Leandro; “Vivir en los Medios”, Editorial Marea, 2006.</w:t>
      </w:r>
    </w:p>
    <w:p w:rsidR="00B53B76" w:rsidRDefault="005A5F9C">
      <w:pPr>
        <w:spacing w:line="240" w:lineRule="auto"/>
        <w:ind w:left="0" w:hanging="2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-</w:t>
      </w:r>
      <w:r>
        <w:rPr>
          <w:i/>
          <w:color w:val="4A442A"/>
          <w:sz w:val="20"/>
          <w:szCs w:val="20"/>
        </w:rPr>
        <w:tab/>
        <w:t>Macaya Márquez, Enrique; “Mis mundiales: de Suecia 58 a Rusia 2018”, Editorial Planeta, 2018.</w:t>
      </w:r>
    </w:p>
    <w:p w:rsidR="00B53B76" w:rsidRDefault="005A5F9C">
      <w:pPr>
        <w:spacing w:line="240" w:lineRule="auto"/>
        <w:ind w:left="0" w:hanging="2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- Toyos, </w:t>
      </w:r>
      <w:r>
        <w:rPr>
          <w:i/>
          <w:color w:val="4A442A"/>
          <w:sz w:val="20"/>
          <w:szCs w:val="20"/>
        </w:rPr>
        <w:t>María Isabel y Romeo, Florencia; “400 preguntas y respuestas sobre los Juegos Olímpicos”, Editorial El Ateneo, 2024.</w:t>
      </w:r>
    </w:p>
    <w:p w:rsidR="00B53B76" w:rsidRDefault="005A5F9C">
      <w:pPr>
        <w:spacing w:line="240" w:lineRule="auto"/>
        <w:ind w:left="0" w:hanging="2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- Gatti, Juan Pablo; Titanes: Grandes mitos de los Juegos Olímpicos y Paralímpicos”, Editorial LibroFútbol.com, 2022.</w:t>
      </w:r>
    </w:p>
    <w:p w:rsidR="00B53B76" w:rsidRDefault="00B53B76">
      <w:pPr>
        <w:spacing w:line="240" w:lineRule="auto"/>
        <w:ind w:left="0" w:hanging="2"/>
        <w:jc w:val="both"/>
        <w:rPr>
          <w:sz w:val="20"/>
          <w:szCs w:val="20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Metod</w:t>
      </w:r>
      <w:r>
        <w:rPr>
          <w:i/>
          <w:color w:val="4A442A"/>
          <w:sz w:val="20"/>
          <w:szCs w:val="20"/>
        </w:rPr>
        <w:t>ología práctica. Enseñanza a través de la exposición a situaciones laborales del periodista deportivo. Presentación de inconvenientes para la resolución del alumno. Metodología activa y colaborativa. Trabajos en clase y tareas que llevan al alumno a ser pa</w:t>
      </w:r>
      <w:r>
        <w:rPr>
          <w:i/>
          <w:color w:val="4A442A"/>
          <w:sz w:val="20"/>
          <w:szCs w:val="20"/>
        </w:rPr>
        <w:t>rtícipes de lugares de trabajo del periodista.</w:t>
      </w:r>
    </w:p>
    <w:p w:rsidR="00B53B76" w:rsidRDefault="005A5F9C">
      <w:pPr>
        <w:ind w:left="0" w:hanging="2"/>
        <w:jc w:val="both"/>
        <w:rPr>
          <w:i/>
          <w:color w:val="FF0000"/>
          <w:sz w:val="20"/>
          <w:szCs w:val="20"/>
        </w:rPr>
      </w:pPr>
      <w:r>
        <w:rPr>
          <w:i/>
          <w:color w:val="4A442A"/>
          <w:sz w:val="20"/>
          <w:szCs w:val="20"/>
        </w:rPr>
        <w:t>Presentación de casos e intercambio alumnado – docente. Evaluación constante de prácticas profesionales de los estudiantes.</w:t>
      </w:r>
    </w:p>
    <w:p w:rsidR="00B53B76" w:rsidRDefault="00B53B76">
      <w:pPr>
        <w:ind w:left="0" w:hanging="2"/>
        <w:jc w:val="both"/>
        <w:rPr>
          <w:i/>
          <w:color w:val="FF0000"/>
          <w:sz w:val="20"/>
          <w:szCs w:val="20"/>
        </w:rPr>
      </w:pPr>
    </w:p>
    <w:p w:rsidR="00B53B76" w:rsidRDefault="00B53B76">
      <w:pPr>
        <w:ind w:left="0" w:hanging="2"/>
        <w:jc w:val="both"/>
        <w:rPr>
          <w:i/>
          <w:color w:val="4A442A"/>
        </w:rPr>
      </w:pPr>
    </w:p>
    <w:p w:rsidR="00B53B76" w:rsidRDefault="005A5F9C">
      <w:pP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:rsidR="00B53B76" w:rsidRDefault="00B53B76">
      <w:pP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:rsidR="00B53B76" w:rsidRDefault="00B53B76">
      <w:pPr>
        <w:ind w:left="0" w:hanging="2"/>
        <w:jc w:val="both"/>
        <w:rPr>
          <w:sz w:val="20"/>
          <w:szCs w:val="20"/>
        </w:rPr>
      </w:pPr>
    </w:p>
    <w:tbl>
      <w:tblPr>
        <w:tblW w:w="9530" w:type="dxa"/>
        <w:tblInd w:w="1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 w:firstRow="0" w:lastRow="0" w:firstColumn="0" w:lastColumn="0" w:noHBand="1" w:noVBand="1"/>
      </w:tblPr>
      <w:tblGrid>
        <w:gridCol w:w="929"/>
        <w:gridCol w:w="3376"/>
        <w:gridCol w:w="869"/>
        <w:gridCol w:w="1066"/>
        <w:gridCol w:w="1544"/>
        <w:gridCol w:w="1746"/>
      </w:tblGrid>
      <w:tr w:rsidR="00B53B76">
        <w:trPr>
          <w:trHeight w:val="600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Actividad </w:t>
            </w:r>
            <w:r>
              <w:rPr>
                <w:sz w:val="20"/>
                <w:szCs w:val="20"/>
              </w:rPr>
              <w:t>prevista</w:t>
            </w:r>
          </w:p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B53B76">
        <w:trPr>
          <w:trHeight w:val="600"/>
        </w:trPr>
        <w:tc>
          <w:tcPr>
            <w:tcW w:w="9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B53B76">
        <w:trPr>
          <w:trHeight w:val="315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Contenidos: Presentación de la materia. Presentación de funciones, puestos laborales. Conceptos sobre cada uno de ellos. Diferencia entre los medios de comunicación. Necesidad de la apertura del periodista a distintas funciones. </w:t>
            </w:r>
            <w:r>
              <w:rPr>
                <w:i/>
                <w:sz w:val="20"/>
                <w:szCs w:val="20"/>
              </w:rPr>
              <w:t>Producción, puesta al aire, estructura de redacción, programas de TV y radio. Entendimiento y práctica de diferentes roles. Noticiabilidad de los eventos deportivos.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  <w:r>
              <w:rPr>
                <w:i/>
                <w:sz w:val="20"/>
                <w:szCs w:val="20"/>
              </w:rPr>
              <w:br/>
              <w:t>alumnos entre sí</w:t>
            </w:r>
          </w:p>
        </w:tc>
      </w:tr>
      <w:tr w:rsidR="00B53B76">
        <w:trPr>
          <w:trHeight w:val="315"/>
        </w:trPr>
        <w:tc>
          <w:tcPr>
            <w:tcW w:w="9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Práctica</w:t>
            </w:r>
          </w:p>
          <w:p w:rsidR="00B53B76" w:rsidRDefault="005A5F9C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Exposición del alumno a situaciones laborales. Utilización de recursos tecnológicos para presentación de trabajos tanto entre clases como en la misma por intermedio de los elementos que posee la Facultad.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obligatorio individual y grupal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</w:t>
            </w:r>
            <w:r>
              <w:rPr>
                <w:i/>
                <w:sz w:val="20"/>
                <w:szCs w:val="20"/>
              </w:rPr>
              <w:t>alumnos</w:t>
            </w:r>
            <w:r>
              <w:rPr>
                <w:i/>
                <w:sz w:val="20"/>
                <w:szCs w:val="20"/>
              </w:rPr>
              <w:br/>
              <w:t>alumnos entre sí</w:t>
            </w:r>
          </w:p>
        </w:tc>
      </w:tr>
      <w:tr w:rsidR="00B53B76">
        <w:trPr>
          <w:trHeight w:val="315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Contenidos:</w:t>
            </w:r>
          </w:p>
          <w:p w:rsidR="00B53B76" w:rsidRDefault="005A5F9C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Coberturas de eventos. Presentación de trabajos en campo. Evaluación grupal e individual. Conducción de radio y TV. Confección de paneles, mesas de trabajo. La columna, la entrevista. Relato y comentario deportivo. </w:t>
            </w:r>
            <w:r>
              <w:rPr>
                <w:i/>
                <w:sz w:val="20"/>
                <w:szCs w:val="20"/>
              </w:rPr>
              <w:t>Interpretación, entendimiento. Expresión oral de conceptos e ideas. Manejo de tiempos de aire. Trabajo en Redes. Responsabilidad profesional.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B53B76">
        <w:trPr>
          <w:trHeight w:val="315"/>
        </w:trPr>
        <w:tc>
          <w:tcPr>
            <w:tcW w:w="9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:rsidR="00B53B76" w:rsidRDefault="005A5F9C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Evaluación en coberturas en campo. En el segundo módulo, </w:t>
            </w:r>
            <w:r>
              <w:rPr>
                <w:i/>
                <w:sz w:val="20"/>
                <w:szCs w:val="20"/>
              </w:rPr>
              <w:t>llevamos lo practicado en trabajos individuales y grupales a lo real. Desempeñar el rol de periodista deportivo en eventos, entrevistas, medios y redes sociales.</w:t>
            </w:r>
          </w:p>
          <w:p w:rsidR="00B53B76" w:rsidRDefault="00B53B76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individual y grupal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:rsidR="00B53B76" w:rsidRDefault="005A5F9C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B53B76">
        <w:trPr>
          <w:trHeight w:val="315"/>
        </w:trPr>
        <w:tc>
          <w:tcPr>
            <w:tcW w:w="9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5A5F9C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:rsidR="00B53B76" w:rsidRDefault="00B53B76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3B76" w:rsidRDefault="00B53B76">
            <w:pPr>
              <w:widowControl w:val="0"/>
              <w:spacing w:line="276" w:lineRule="auto"/>
              <w:ind w:left="-2" w:firstLineChars="0" w:firstLine="0"/>
              <w:rPr>
                <w:i/>
                <w:sz w:val="20"/>
                <w:szCs w:val="20"/>
              </w:rPr>
            </w:pPr>
          </w:p>
        </w:tc>
      </w:tr>
      <w:tr w:rsidR="00B53B76">
        <w:trPr>
          <w:trHeight w:val="315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53B76" w:rsidRDefault="005A5F9C">
            <w:pPr>
              <w:widowControl w:val="0"/>
              <w:spacing w:line="276" w:lineRule="auto"/>
              <w:ind w:left="-2" w:firstLineChars="0" w:firstLine="0"/>
              <w:rPr>
                <w:sz w:val="20"/>
                <w:szCs w:val="20"/>
              </w:rPr>
            </w:pPr>
            <w:bookmarkStart w:id="1" w:name="_heading=h.gjdgxs"/>
            <w:bookmarkEnd w:id="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53B76" w:rsidRDefault="005A5F9C">
            <w:pPr>
              <w:widowControl w:val="0"/>
              <w:spacing w:line="276" w:lineRule="auto"/>
              <w:ind w:left="-2" w:firstLineChars="0" w:firstLine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Contenidos: Agenda personal, su construcción y búsqueda de información. Producción periodística en Deportes. Distinción de fuentes, importancia de su protección y nivel de injerencia. Chequeo y verificación de datos. El camino a fuentes fidedignas y cómo e</w:t>
            </w:r>
            <w:r>
              <w:rPr>
                <w:i/>
                <w:sz w:val="20"/>
                <w:szCs w:val="20"/>
              </w:rPr>
              <w:t>mplearlo en el ámbito laboral. Resolución de conflictos ante protagonistas.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53B76" w:rsidRDefault="005A5F9C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53B76" w:rsidRDefault="005A5F9C">
            <w:pPr>
              <w:widowControl w:val="0"/>
              <w:spacing w:line="276" w:lineRule="auto"/>
              <w:ind w:left="-2" w:firstLineChars="0" w:firstLine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53B76" w:rsidRDefault="005A5F9C">
            <w:pPr>
              <w:widowControl w:val="0"/>
              <w:spacing w:line="276" w:lineRule="auto"/>
              <w:ind w:left="-2" w:firstLineChars="0" w:firstLine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individual y grupal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53B76" w:rsidRDefault="005A5F9C">
            <w:pPr>
              <w:widowControl w:val="0"/>
              <w:spacing w:line="276" w:lineRule="auto"/>
              <w:ind w:left="-2" w:firstLineChars="0" w:firstLine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  <w:r>
              <w:rPr>
                <w:i/>
                <w:sz w:val="20"/>
                <w:szCs w:val="20"/>
              </w:rPr>
              <w:br/>
              <w:t>alumnos entre sí</w:t>
            </w:r>
          </w:p>
        </w:tc>
      </w:tr>
    </w:tbl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numPr>
          <w:ilvl w:val="1"/>
          <w:numId w:val="2"/>
        </w:numP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:rsidR="00B53B76" w:rsidRDefault="005A5F9C">
      <w:pPr>
        <w:spacing w:line="240" w:lineRule="auto"/>
        <w:ind w:left="0" w:hanging="2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La cátedra contempla prácticas que tienen que ver con la escritura, expresión oral y corporal, así como el desenvolvimiento en eventos deportivos. Además, la posibilidad de que comiencen a dialogar con protagonistas. Tareas de producción y ejecución en for</w:t>
      </w:r>
      <w:r>
        <w:rPr>
          <w:i/>
          <w:color w:val="434343"/>
          <w:sz w:val="20"/>
          <w:szCs w:val="20"/>
        </w:rPr>
        <w:t xml:space="preserve">mato de texto y audiovisual.  </w:t>
      </w:r>
      <w:r>
        <w:rPr>
          <w:i/>
          <w:color w:val="434343"/>
          <w:sz w:val="20"/>
          <w:szCs w:val="20"/>
        </w:rPr>
        <w:br/>
      </w:r>
    </w:p>
    <w:p w:rsidR="00B53B76" w:rsidRDefault="005A5F9C">
      <w:pPr>
        <w:spacing w:line="240" w:lineRule="auto"/>
        <w:ind w:left="0" w:hanging="2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Módulo I: Realización de presentaciones a cámara, en radio y redes sociales. Redacción. En esta primera parte del curso, la búsqueda es la pérdida del miedo al error y la corrección inmediata de modismos erróneos, alimentand</w:t>
      </w:r>
      <w:r>
        <w:rPr>
          <w:i/>
          <w:color w:val="434343"/>
          <w:sz w:val="20"/>
          <w:szCs w:val="20"/>
        </w:rPr>
        <w:t>o la capacidad oratoria del alumno, Entregarle las herramientas para su crecimiento profesional.</w:t>
      </w:r>
      <w:r>
        <w:rPr>
          <w:i/>
          <w:color w:val="434343"/>
          <w:sz w:val="20"/>
          <w:szCs w:val="20"/>
        </w:rPr>
        <w:br/>
      </w:r>
      <w:r>
        <w:rPr>
          <w:i/>
          <w:color w:val="434343"/>
          <w:sz w:val="20"/>
          <w:szCs w:val="20"/>
        </w:rPr>
        <w:br/>
        <w:t>Módulo II: A lo visto en Módulo I, añadir participación en eventos con su trabajo correspondiente. Aquí, se agrega la presencia en distintos eventos, la oblig</w:t>
      </w:r>
      <w:r>
        <w:rPr>
          <w:i/>
          <w:color w:val="434343"/>
          <w:sz w:val="20"/>
          <w:szCs w:val="20"/>
        </w:rPr>
        <w:t>ación de interactuar y superar barreras para conseguir diferentes objetivos. Contacto con los protagonistas del deporte en las disciplinas vistas hasta el año en curso.</w:t>
      </w:r>
      <w:r>
        <w:rPr>
          <w:i/>
          <w:color w:val="434343"/>
          <w:sz w:val="20"/>
          <w:szCs w:val="20"/>
        </w:rPr>
        <w:br/>
      </w:r>
      <w:r>
        <w:rPr>
          <w:i/>
          <w:color w:val="434343"/>
          <w:sz w:val="20"/>
          <w:szCs w:val="20"/>
        </w:rPr>
        <w:br/>
        <w:t>Módulo III: Interacción con fuentes, búsqueda de información. Como objetivo, que pueda</w:t>
      </w:r>
      <w:r>
        <w:rPr>
          <w:i/>
          <w:color w:val="434343"/>
          <w:sz w:val="20"/>
          <w:szCs w:val="20"/>
        </w:rPr>
        <w:t>n comenzar a tener su propia red de información, fundamental para desarrollar la tarea de manera satisfactoria. Entender la amplitud del deporte y la necesidad de tener contacto con profesionales de diferentes áreas.</w:t>
      </w:r>
      <w:r>
        <w:rPr>
          <w:i/>
          <w:color w:val="434343"/>
          <w:sz w:val="20"/>
          <w:szCs w:val="20"/>
        </w:rPr>
        <w:br/>
      </w:r>
    </w:p>
    <w:p w:rsidR="00B53B76" w:rsidRDefault="005A5F9C">
      <w:pP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En cada módulo, la evaluación será con</w:t>
      </w:r>
      <w:r>
        <w:rPr>
          <w:i/>
          <w:color w:val="434343"/>
          <w:sz w:val="20"/>
          <w:szCs w:val="20"/>
        </w:rPr>
        <w:t>stante y tendrán tareas individuales y grupales, contemplando que cada rol requiere una faceta individual, así como enseñar sobre el ineludible trabajo en equipo.</w:t>
      </w:r>
    </w:p>
    <w:p w:rsidR="00B53B76" w:rsidRDefault="00B53B76">
      <w:pP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En referencia a las prácticas del alumno: 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Se van a desarrollar</w:t>
      </w:r>
      <w:r>
        <w:rPr>
          <w:i/>
          <w:color w:val="4A442A"/>
          <w:sz w:val="20"/>
          <w:szCs w:val="20"/>
        </w:rPr>
        <w:t xml:space="preserve"> en lugares de entrenamiento de diferentes deportes, partidos o encuentro con protagonistas.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Tras cada una de estas prácticas, el alumno deberá presentar los trabajos requeridos por la cátedra.</w:t>
      </w:r>
    </w:p>
    <w:p w:rsidR="00B53B76" w:rsidRDefault="005A5F9C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Utilización de distintos recursos para llegar a los objetivos.</w:t>
      </w:r>
    </w:p>
    <w:p w:rsidR="00B53B76" w:rsidRDefault="00B53B76">
      <w:pPr>
        <w:ind w:left="0" w:hanging="2"/>
        <w:jc w:val="both"/>
        <w:rPr>
          <w:i/>
          <w:color w:val="4A442A"/>
          <w:sz w:val="20"/>
          <w:szCs w:val="20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:rsidR="00B53B76" w:rsidRDefault="005A5F9C">
      <w:pPr>
        <w:ind w:left="0" w:hanging="2"/>
        <w:jc w:val="both"/>
        <w:rPr>
          <w:i/>
          <w:sz w:val="20"/>
          <w:szCs w:val="20"/>
        </w:rPr>
      </w:pPr>
      <w:r>
        <w:rPr>
          <w:i/>
          <w:color w:val="4A442A"/>
          <w:sz w:val="20"/>
          <w:szCs w:val="20"/>
        </w:rPr>
        <w:t>El alumno presentará sus trabajos y tareas. Revisión del material entregado y devolución sobre su desempeño. Esta modalidad será mixta, ya que habrá tareas para entrega y trabajo en clase (a realizarse entre clases), y trabajos</w:t>
      </w:r>
      <w:r>
        <w:rPr>
          <w:i/>
          <w:color w:val="4A442A"/>
          <w:sz w:val="20"/>
          <w:szCs w:val="20"/>
        </w:rPr>
        <w:t xml:space="preserve"> en la Facultad que serán evaluado y corregidos n situ. Asistencia adicional a través del mail oficial de la facultad.</w:t>
      </w:r>
    </w:p>
    <w:p w:rsidR="00B53B76" w:rsidRDefault="00B53B76">
      <w:pPr>
        <w:ind w:left="0" w:hanging="2"/>
        <w:jc w:val="both"/>
        <w:rPr>
          <w:i/>
          <w:sz w:val="20"/>
          <w:szCs w:val="20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:rsidR="00B53B76" w:rsidRDefault="005A5F9C">
      <w:pPr>
        <w:ind w:left="0" w:hanging="2"/>
        <w:rPr>
          <w:i/>
          <w:sz w:val="20"/>
          <w:szCs w:val="20"/>
        </w:rPr>
      </w:pPr>
      <w:r>
        <w:rPr>
          <w:i/>
          <w:sz w:val="20"/>
          <w:szCs w:val="20"/>
        </w:rPr>
        <w:t>Materia promocionable. Esto contempla que el alumno muestre un desempeño por encima de la media de aproba</w:t>
      </w:r>
      <w:r>
        <w:rPr>
          <w:i/>
          <w:sz w:val="20"/>
          <w:szCs w:val="20"/>
        </w:rPr>
        <w:t>ción. Para lograr dicho objetivo, el alumno deberá cumplir con los siguientes criterios:</w:t>
      </w:r>
    </w:p>
    <w:p w:rsidR="00B53B76" w:rsidRDefault="005A5F9C">
      <w:pPr>
        <w:pStyle w:val="Prrafodelista"/>
        <w:numPr>
          <w:ilvl w:val="0"/>
          <w:numId w:val="3"/>
        </w:numPr>
        <w:ind w:leftChars="0" w:left="720" w:firstLineChars="0" w:firstLine="1"/>
        <w:rPr>
          <w:i/>
          <w:sz w:val="20"/>
          <w:szCs w:val="20"/>
        </w:rPr>
      </w:pPr>
      <w:r>
        <w:rPr>
          <w:i/>
          <w:sz w:val="20"/>
          <w:szCs w:val="20"/>
        </w:rPr>
        <w:t>Evaluación en dos parciales de carácter práctico a determinar. Cada uno de estos parciales debe ser aprobado con 7 (siete) o más para llegar a la Promoción. Primer par</w:t>
      </w:r>
      <w:r>
        <w:rPr>
          <w:i/>
          <w:sz w:val="20"/>
          <w:szCs w:val="20"/>
        </w:rPr>
        <w:t>cial con recuperatorio en las fechas establecidas. Segundo parcial y recuperatorio en las fechas establecidas.</w:t>
      </w:r>
      <w:r>
        <w:rPr>
          <w:i/>
          <w:sz w:val="20"/>
          <w:szCs w:val="20"/>
        </w:rPr>
        <w:br/>
      </w:r>
    </w:p>
    <w:p w:rsidR="00B53B76" w:rsidRDefault="005A5F9C">
      <w:pPr>
        <w:pStyle w:val="Prrafodelista"/>
        <w:numPr>
          <w:ilvl w:val="0"/>
          <w:numId w:val="3"/>
        </w:numPr>
        <w:ind w:leftChars="0" w:left="720" w:firstLineChars="0" w:firstLine="1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Además, al ser una materia de carácter práctico, se evaluará el desempeño del alumno a través de los trabajos presentados propuestos por la cáte</w:t>
      </w:r>
      <w:r>
        <w:rPr>
          <w:i/>
          <w:sz w:val="20"/>
          <w:szCs w:val="20"/>
        </w:rPr>
        <w:t xml:space="preserve">dra durante el cuatrimestre. Se deberá cumplir en tiempo y forma </w:t>
      </w:r>
      <w:r>
        <w:rPr>
          <w:i/>
          <w:sz w:val="20"/>
          <w:szCs w:val="20"/>
        </w:rPr>
        <w:lastRenderedPageBreak/>
        <w:t xml:space="preserve">con su entrega. La concurrencia a las clases será tenida en cuenta ya que la interacción con pares es fundamental.  </w:t>
      </w:r>
    </w:p>
    <w:p w:rsidR="00B53B76" w:rsidRDefault="005A5F9C">
      <w:pPr>
        <w:pStyle w:val="Prrafodelista"/>
        <w:numPr>
          <w:ilvl w:val="0"/>
          <w:numId w:val="3"/>
        </w:numPr>
        <w:ind w:leftChars="0" w:left="720" w:firstLineChars="0" w:firstLine="1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Realizar las coberturas especiales consensuadas con el alumno. Si el alumn</w:t>
      </w:r>
      <w:r>
        <w:rPr>
          <w:i/>
          <w:sz w:val="20"/>
          <w:szCs w:val="20"/>
        </w:rPr>
        <w:t xml:space="preserve">o se compromete a una cobertura especial, deberá realizarla. </w:t>
      </w:r>
    </w:p>
    <w:p w:rsidR="00B53B76" w:rsidRDefault="005A5F9C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br/>
        <w:t>Para llevar adelante la evaluación, se utilizarán las horas de clase para la evacuación de dudas y los salones especiales de la Casa de Estudios para poder realizar prácticas profesionales. Tam</w:t>
      </w:r>
      <w:r>
        <w:rPr>
          <w:i/>
          <w:sz w:val="20"/>
          <w:szCs w:val="20"/>
        </w:rPr>
        <w:t>bién se utilizará el trabajo de los alumnos entre clases en formato de texto, audio y video.</w:t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 Godoy, Fabián; “Transmisiones Deportivas. Claves prácticas para el periodista”, Editorial LibroFútbol.com, Buenos Aires, 2021.</w:t>
      </w:r>
    </w:p>
    <w:p w:rsidR="00B53B76" w:rsidRDefault="005A5F9C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López Magallón, Enrique Adolfo; “Una mirada global del Periodismo Deportivo”, Razón y Palabra, núm. 69, julio-agosto, 2009 Universidad de los Hemisferios, Quito, Ecuador.</w:t>
      </w:r>
    </w:p>
    <w:p w:rsidR="00B53B76" w:rsidRDefault="005A5F9C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 Pérez Soler, Susana; “Periodismo y redes sociales: claves para la gestión de </w:t>
      </w:r>
      <w:r>
        <w:rPr>
          <w:sz w:val="22"/>
          <w:szCs w:val="22"/>
        </w:rPr>
        <w:t>contenidos digitales”, Editorial UOC, Catalunya, 2017.</w:t>
      </w:r>
    </w:p>
    <w:p w:rsidR="00B53B76" w:rsidRDefault="005A5F9C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Gómez Bueno, Javier; “Ética, responsabilidad y observación de los códigos deontológicos en el periodismo deportivo”, Artículo de investigación, 2013.</w:t>
      </w:r>
    </w:p>
    <w:p w:rsidR="00B53B76" w:rsidRDefault="005A5F9C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López, Andrés y López, Mariano Hernán; “Primero</w:t>
      </w:r>
      <w:r>
        <w:rPr>
          <w:sz w:val="22"/>
          <w:szCs w:val="22"/>
        </w:rPr>
        <w:t>s apuntes de la historia del periodismo deportivo en Argentina”, PDF, 2012.</w:t>
      </w:r>
    </w:p>
    <w:p w:rsidR="00B53B76" w:rsidRDefault="005A5F9C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Macaya Márquez, Enrique; “Mi visión del fútbol”, Temas Grupo Editorial, 1996.</w:t>
      </w:r>
      <w:r>
        <w:rPr>
          <w:sz w:val="22"/>
          <w:szCs w:val="22"/>
        </w:rPr>
        <w:br/>
        <w:t>- Casado, Eduardo; “Génesis del fútbol”, Editorial LibroFútbol.com, 2020.</w:t>
      </w:r>
    </w:p>
    <w:p w:rsidR="00B53B76" w:rsidRDefault="005A5F9C">
      <w:pPr>
        <w:ind w:left="0" w:hanging="2"/>
        <w:rPr>
          <w:sz w:val="22"/>
          <w:szCs w:val="22"/>
        </w:rPr>
      </w:pPr>
      <w:r>
        <w:t>- Bonadeo, Gonzalo; “Pasió</w:t>
      </w:r>
      <w:r>
        <w:t>n Olímpica, la llama sigue encendida”, Editorial Sudamericana, 2021.</w:t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noProof/>
          <w:sz w:val="22"/>
          <w:szCs w:val="22"/>
          <w:lang w:val="es-AR" w:eastAsia="es-AR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1070610</wp:posOffset>
            </wp:positionH>
            <wp:positionV relativeFrom="paragraph">
              <wp:posOffset>635</wp:posOffset>
            </wp:positionV>
            <wp:extent cx="1578610" cy="1091565"/>
            <wp:effectExtent l="0" t="0" r="0" b="0"/>
            <wp:wrapSquare wrapText="largest"/>
            <wp:docPr id="2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B53B76">
      <w:pPr>
        <w:ind w:left="0" w:hanging="2"/>
        <w:jc w:val="both"/>
        <w:rPr>
          <w:sz w:val="22"/>
          <w:szCs w:val="22"/>
        </w:rPr>
      </w:pPr>
    </w:p>
    <w:p w:rsidR="00B53B76" w:rsidRDefault="005A5F9C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B53B76">
      <w:footerReference w:type="even" r:id="rId10"/>
      <w:footerReference w:type="default" r:id="rId11"/>
      <w:footerReference w:type="first" r:id="rId12"/>
      <w:pgSz w:w="11906" w:h="16838"/>
      <w:pgMar w:top="1418" w:right="1133" w:bottom="1418" w:left="1134" w:header="0" w:footer="30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A5F9C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5A5F9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B76" w:rsidRDefault="005A5F9C">
    <w:pP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:rsidR="00B53B76" w:rsidRDefault="00B53B76">
    <w:pP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B76" w:rsidRDefault="005A5F9C">
    <w:pP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B53B76" w:rsidRDefault="00B53B76">
    <w:pP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B76" w:rsidRDefault="005A5F9C">
    <w:pP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5</w:t>
    </w:r>
    <w:r>
      <w:rPr>
        <w:color w:val="000000"/>
      </w:rPr>
      <w:fldChar w:fldCharType="end"/>
    </w:r>
  </w:p>
  <w:p w:rsidR="00B53B76" w:rsidRDefault="00B53B76">
    <w:pP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A5F9C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5A5F9C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3620B"/>
    <w:multiLevelType w:val="multilevel"/>
    <w:tmpl w:val="F97CC0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F14450"/>
    <w:multiLevelType w:val="multilevel"/>
    <w:tmpl w:val="DC6491F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84" w:hanging="1800"/>
      </w:pPr>
      <w:rPr>
        <w:b/>
      </w:rPr>
    </w:lvl>
  </w:abstractNum>
  <w:abstractNum w:abstractNumId="2" w15:restartNumberingAfterBreak="0">
    <w:nsid w:val="55C07429"/>
    <w:multiLevelType w:val="multilevel"/>
    <w:tmpl w:val="4BA438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565D66BD"/>
    <w:multiLevelType w:val="multilevel"/>
    <w:tmpl w:val="66206FE0"/>
    <w:lvl w:ilvl="0">
      <w:start w:val="12"/>
      <w:numFmt w:val="bullet"/>
      <w:lvlText w:val="-"/>
      <w:lvlJc w:val="left"/>
      <w:pPr>
        <w:tabs>
          <w:tab w:val="num" w:pos="0"/>
        </w:tabs>
        <w:ind w:left="358" w:hanging="360"/>
      </w:pPr>
      <w:rPr>
        <w:rFonts w:ascii="Times New Roman" w:hAnsi="Times New Roman" w:cs="Times New Roman" w:hint="default"/>
        <w:i/>
        <w:color w:val="1155CC"/>
        <w:sz w:val="20"/>
        <w:szCs w:val="20"/>
        <w:u w:val="singl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9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1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5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18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76"/>
    <w:rsid w:val="005A5F9C"/>
    <w:rsid w:val="00B5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121D"/>
  <w15:docId w15:val="{A17FD6D5-CDC6-43AA-9D76-787D6C4B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styleId="Nmerodepgina">
    <w:name w:val="page number"/>
    <w:basedOn w:val="Fuentedeprrafopredeter"/>
    <w:rPr>
      <w:w w:val="100"/>
      <w:position w:val="0"/>
      <w:sz w:val="24"/>
      <w:effect w:val="none"/>
      <w:vertAlign w:val="baseline"/>
      <w:em w:val="none"/>
    </w:rPr>
  </w:style>
  <w:style w:type="character" w:customStyle="1" w:styleId="Caracteresdenotaalpie">
    <w:name w:val="Caracteres de nota al pie"/>
    <w:basedOn w:val="Fuentedeprrafopredeter"/>
    <w:qFormat/>
    <w:rPr>
      <w:w w:val="100"/>
      <w:effect w:val="none"/>
      <w:vertAlign w:val="superscript"/>
      <w:em w:val="none"/>
    </w:rPr>
  </w:style>
  <w:style w:type="character" w:styleId="Refdenotaalpie">
    <w:name w:val="footnote reference"/>
    <w:rPr>
      <w:w w:val="100"/>
      <w:effect w:val="none"/>
      <w:vertAlign w:val="superscript"/>
      <w:em w:val="none"/>
    </w:rPr>
  </w:style>
  <w:style w:type="paragraph" w:styleId="Ttulo">
    <w:name w:val="Title"/>
    <w:basedOn w:val="Normal"/>
    <w:next w:val="Textoindependient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angradetextonormal">
    <w:name w:val="Body Text Indent"/>
    <w:basedOn w:val="Normal"/>
    <w:pPr>
      <w:ind w:leftChars="-2" w:left="-2"/>
      <w:jc w:val="both"/>
    </w:pPr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rPr>
      <w:sz w:val="20"/>
    </w:rPr>
  </w:style>
  <w:style w:type="paragraph" w:styleId="Textodebloque">
    <w:name w:val="Block Text"/>
    <w:basedOn w:val="Normal"/>
    <w:qFormat/>
    <w:pPr>
      <w:tabs>
        <w:tab w:val="left" w:pos="-720"/>
      </w:tabs>
      <w:ind w:leftChars="-2" w:left="-2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pPr>
      <w:ind w:leftChars="-2" w:left="-2"/>
      <w:contextualSpacing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1600</Words>
  <Characters>8802</Characters>
  <Application>Microsoft Office Word</Application>
  <DocSecurity>0</DocSecurity>
  <Lines>73</Lines>
  <Paragraphs>20</Paragraphs>
  <ScaleCrop>false</ScaleCrop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dc:description/>
  <cp:lastModifiedBy>Lucio Aya Tenorio - Cs. Sociales</cp:lastModifiedBy>
  <cp:revision>12</cp:revision>
  <dcterms:created xsi:type="dcterms:W3CDTF">2025-07-08T23:27:00Z</dcterms:created>
  <dcterms:modified xsi:type="dcterms:W3CDTF">2026-09-24T14:56:00Z</dcterms:modified>
  <dc:language>es-AR</dc:language>
</cp:coreProperties>
</file>