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028" w:rsidRDefault="00976028" w:rsidP="0097602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  <w:bookmarkStart w:id="0" w:name="_heading=h.sna26o43edap" w:colFirst="0" w:colLast="0"/>
      <w:bookmarkEnd w:id="0"/>
    </w:p>
    <w:tbl>
      <w:tblPr>
        <w:tblW w:w="1003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470"/>
        <w:gridCol w:w="5565"/>
      </w:tblGrid>
      <w:tr w:rsidR="00976028" w:rsidTr="00147117">
        <w:trPr>
          <w:cantSplit/>
          <w:trHeight w:val="1696"/>
          <w:tblHeader/>
        </w:trPr>
        <w:tc>
          <w:tcPr>
            <w:tcW w:w="4470" w:type="dxa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  <w:lang w:val="es-AR"/>
              </w:rPr>
              <w:drawing>
                <wp:inline distT="0" distB="0" distL="114300" distR="114300" wp14:anchorId="48267D8A" wp14:editId="07AAF206">
                  <wp:extent cx="562610" cy="712470"/>
                  <wp:effectExtent l="0" t="0" r="0" b="0"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UNIVERSIDAD DEL SALVADOR</w:t>
            </w: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Facultad de Ciencias de la Educación y la Comunicación Social.</w:t>
            </w: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65" w:type="dxa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:rsidR="00976028" w:rsidRPr="00306B5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06B58">
              <w:rPr>
                <w:b/>
                <w:i/>
                <w:color w:val="000000"/>
                <w:sz w:val="22"/>
                <w:szCs w:val="22"/>
              </w:rPr>
              <w:t>Lic. en Ciencias de la Comunicación</w:t>
            </w: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2"/>
                <w:szCs w:val="22"/>
              </w:rPr>
            </w:pPr>
          </w:p>
        </w:tc>
      </w:tr>
    </w:tbl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2"/>
          <w:szCs w:val="22"/>
        </w:rPr>
      </w:pPr>
    </w:p>
    <w:p w:rsidR="00976028" w:rsidRDefault="00976028" w:rsidP="00976028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PROGRAMA 202</w:t>
      </w:r>
      <w:r>
        <w:rPr>
          <w:b/>
          <w:bCs/>
          <w:sz w:val="22"/>
          <w:szCs w:val="22"/>
        </w:rPr>
        <w:t>6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 xml:space="preserve"> </w:t>
      </w:r>
    </w:p>
    <w:tbl>
      <w:tblPr>
        <w:tblW w:w="978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095"/>
        <w:gridCol w:w="315"/>
        <w:gridCol w:w="1095"/>
        <w:gridCol w:w="1530"/>
        <w:gridCol w:w="2070"/>
        <w:gridCol w:w="1650"/>
      </w:tblGrid>
      <w:tr w:rsidR="00976028" w:rsidTr="00147117">
        <w:trPr>
          <w:cantSplit/>
          <w:trHeight w:val="460"/>
          <w:tblHeader/>
        </w:trPr>
        <w:tc>
          <w:tcPr>
            <w:tcW w:w="3127" w:type="dxa"/>
            <w:gridSpan w:val="4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bCs/>
                <w:color w:val="000000"/>
                <w:sz w:val="20"/>
                <w:szCs w:val="20"/>
              </w:rPr>
            </w:pP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ACTIVIDAD CURRICULAR:</w:t>
            </w:r>
          </w:p>
        </w:tc>
        <w:tc>
          <w:tcPr>
            <w:tcW w:w="6660" w:type="dxa"/>
            <w:gridSpan w:val="5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SEMINARIO DE INTEGRACION PROFESIONAL</w:t>
            </w:r>
          </w:p>
        </w:tc>
      </w:tr>
      <w:tr w:rsidR="00976028" w:rsidTr="00147117">
        <w:trPr>
          <w:cantSplit/>
          <w:trHeight w:val="460"/>
          <w:tblHeader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LIC. </w:t>
            </w:r>
            <w:r>
              <w:rPr>
                <w:sz w:val="20"/>
                <w:szCs w:val="20"/>
              </w:rPr>
              <w:t>GEORGINA MORINI</w:t>
            </w:r>
          </w:p>
        </w:tc>
      </w:tr>
      <w:tr w:rsidR="00976028" w:rsidTr="00147117">
        <w:trPr>
          <w:cantSplit/>
          <w:trHeight w:val="460"/>
          <w:tblHeader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ASINCRÓNICA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</w:tr>
      <w:tr w:rsidR="00976028" w:rsidTr="00147117">
        <w:trPr>
          <w:cantSplit/>
          <w:trHeight w:val="460"/>
          <w:tblHeader/>
        </w:trPr>
        <w:tc>
          <w:tcPr>
            <w:tcW w:w="3127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CARGA HORARIA SEMANAL:</w:t>
            </w:r>
          </w:p>
        </w:tc>
        <w:tc>
          <w:tcPr>
            <w:tcW w:w="2940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4HS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 HS</w:t>
            </w:r>
          </w:p>
        </w:tc>
      </w:tr>
      <w:tr w:rsidR="00976028" w:rsidTr="00147117">
        <w:trPr>
          <w:cantSplit/>
          <w:trHeight w:val="460"/>
          <w:tblHeader/>
        </w:trPr>
        <w:tc>
          <w:tcPr>
            <w:tcW w:w="3127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HORARIOS DE DICTADO:</w:t>
            </w:r>
          </w:p>
        </w:tc>
        <w:tc>
          <w:tcPr>
            <w:tcW w:w="6660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47"/>
              </w:tabs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 9-00 HR a 13:00</w:t>
            </w:r>
          </w:p>
        </w:tc>
      </w:tr>
      <w:tr w:rsidR="00976028" w:rsidTr="00147117">
        <w:trPr>
          <w:cantSplit/>
          <w:trHeight w:val="460"/>
          <w:tblHeader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4LCC</w:t>
            </w:r>
          </w:p>
        </w:tc>
        <w:tc>
          <w:tcPr>
            <w:tcW w:w="1095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MAÑANA / NOCHE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CENTRO/ PILAR</w:t>
            </w:r>
          </w:p>
        </w:tc>
      </w:tr>
      <w:tr w:rsidR="00976028" w:rsidTr="00147117">
        <w:trPr>
          <w:cantSplit/>
          <w:trHeight w:val="460"/>
          <w:tblHeader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CASTELLANO</w:t>
            </w:r>
          </w:p>
        </w:tc>
      </w:tr>
      <w:tr w:rsidR="00976028" w:rsidTr="00147117">
        <w:trPr>
          <w:cantSplit/>
          <w:trHeight w:val="460"/>
          <w:tblHeader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</w:tbl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b/>
          <w:bCs/>
          <w:color w:val="000000"/>
          <w:sz w:val="22"/>
          <w:szCs w:val="22"/>
        </w:rPr>
        <w:t xml:space="preserve">CICLO: 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i/>
          <w:iCs/>
          <w:color w:val="000000"/>
          <w:sz w:val="20"/>
          <w:szCs w:val="20"/>
        </w:rPr>
      </w:pPr>
    </w:p>
    <w:tbl>
      <w:tblPr>
        <w:tblW w:w="47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976028" w:rsidTr="00147117">
        <w:trPr>
          <w:cantSplit/>
          <w:trHeight w:val="454"/>
          <w:tblHeader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nil"/>
              <w:right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nil"/>
              <w:right w:val="nil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</w:tr>
      <w:tr w:rsidR="00976028" w:rsidTr="00147117">
        <w:trPr>
          <w:cantSplit/>
          <w:trHeight w:val="454"/>
          <w:tblHeader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b/>
          <w:bCs/>
          <w:color w:val="000000"/>
          <w:sz w:val="22"/>
          <w:szCs w:val="22"/>
        </w:rPr>
        <w:t>COMPOSICIÓN DE LA CÁTEDRA: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tbl>
      <w:tblPr>
        <w:tblW w:w="8940" w:type="dxa"/>
        <w:tblInd w:w="4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840"/>
        <w:gridCol w:w="1890"/>
        <w:gridCol w:w="3210"/>
      </w:tblGrid>
      <w:tr w:rsidR="00976028" w:rsidTr="00147117">
        <w:trPr>
          <w:cantSplit/>
          <w:trHeight w:val="465"/>
          <w:tblHeader/>
        </w:trPr>
        <w:tc>
          <w:tcPr>
            <w:tcW w:w="384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Docente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Función</w:t>
            </w:r>
          </w:p>
        </w:tc>
        <w:tc>
          <w:tcPr>
            <w:tcW w:w="3210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E-mail</w:t>
            </w:r>
          </w:p>
        </w:tc>
      </w:tr>
      <w:tr w:rsidR="00976028" w:rsidTr="00147117">
        <w:trPr>
          <w:cantSplit/>
          <w:trHeight w:val="465"/>
          <w:tblHeader/>
        </w:trPr>
        <w:tc>
          <w:tcPr>
            <w:tcW w:w="3840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028" w:rsidRDefault="00976028" w:rsidP="00147117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MORINI GEORGINA</w:t>
            </w:r>
          </w:p>
          <w:p w:rsidR="00976028" w:rsidRDefault="00976028" w:rsidP="00147117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028" w:rsidRDefault="00976028" w:rsidP="00147117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cargo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028" w:rsidRDefault="00976028" w:rsidP="00147117">
            <w:pPr>
              <w:shd w:val="clear" w:color="auto" w:fill="F8FAFD"/>
              <w:ind w:firstLine="0"/>
              <w:rPr>
                <w:color w:val="000000"/>
              </w:rPr>
            </w:pPr>
            <w:hyperlink r:id="rId6">
              <w:r>
                <w:rPr>
                  <w:rFonts w:ascii="Google Sans" w:eastAsia="Google Sans" w:hAnsi="Google Sans" w:cs="Google Sans"/>
                  <w:sz w:val="22"/>
                  <w:szCs w:val="22"/>
                </w:rPr>
                <w:t>morini.georgina@usal.edu.ar</w:t>
              </w:r>
            </w:hyperlink>
          </w:p>
        </w:tc>
      </w:tr>
      <w:tr w:rsidR="00976028" w:rsidTr="00147117">
        <w:trPr>
          <w:cantSplit/>
          <w:trHeight w:val="465"/>
          <w:tblHeader/>
        </w:trPr>
        <w:tc>
          <w:tcPr>
            <w:tcW w:w="3840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028" w:rsidRDefault="00976028" w:rsidP="00147117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DI PASQUA DAMIAN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028" w:rsidRDefault="00976028" w:rsidP="00147117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cargo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028" w:rsidRDefault="00976028" w:rsidP="00147117">
            <w:pPr>
              <w:ind w:hanging="2"/>
              <w:jc w:val="both"/>
              <w:rPr>
                <w:rFonts w:ascii="Google Sans" w:eastAsia="Google Sans" w:hAnsi="Google Sans" w:cs="Google Sans"/>
                <w:sz w:val="22"/>
                <w:szCs w:val="22"/>
              </w:rPr>
            </w:pPr>
            <w:r>
              <w:rPr>
                <w:rFonts w:ascii="Google Sans" w:eastAsia="Google Sans" w:hAnsi="Google Sans" w:cs="Google Sans"/>
                <w:sz w:val="22"/>
                <w:szCs w:val="22"/>
              </w:rPr>
              <w:t>Damian.dipasqua@usal.edu.ar</w:t>
            </w:r>
          </w:p>
        </w:tc>
      </w:tr>
    </w:tbl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tbl>
      <w:tblPr>
        <w:tblW w:w="886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4860"/>
      </w:tblGrid>
      <w:tr w:rsidR="00976028" w:rsidTr="00147117">
        <w:trPr>
          <w:cantSplit/>
          <w:trHeight w:val="465"/>
          <w:tblHeader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Referente técnico de la plataforma</w:t>
            </w:r>
          </w:p>
        </w:tc>
        <w:tc>
          <w:tcPr>
            <w:tcW w:w="48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b/>
          <w:bCs/>
          <w:color w:val="000000"/>
        </w:rPr>
        <w:t>EJE/ÁREA EN QUE SE ENCUENTRA LA MATERIA/SEMINARIO DENTRO DE LA CARRERA: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Comunicación Social.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:rsidR="00976028" w:rsidRDefault="00976028" w:rsidP="0097602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b/>
          <w:bCs/>
          <w:color w:val="000000"/>
        </w:rPr>
        <w:t>FUNDAMENTACIÓN DE LA MATERIA/SEMINARIO EN LA CARRERA: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Conocer la complejidad de las comunicaciones internas y externas al momento de una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fusión o adquisición. Intervenir en el proceso de planificación y gestión estratégica de la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identidad; diseñando, creando, operando, ejecutando y monitoreando campañas de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comunicación internas y externas, en donde coexistan los medios online y offline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reforzando el discurso de la organización y el brand equity como elemento diferencial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entre las marcas competidoras del segmento para lograr que el público objetivo asocie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a ella significados positivos y posteriormente, un posicionamiento estratégico.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:rsidR="00976028" w:rsidRDefault="00976028" w:rsidP="0097602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b/>
          <w:bCs/>
          <w:color w:val="000000"/>
        </w:rPr>
        <w:t>OBJETIVOS DE LA MATERIA: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4A452A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• Intervenir en el proceso estratégico de fusión/adquisición de las organizaciones;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• Identificar la comunicación como recurso posibilitado y oportunidad;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• Diferenciar el concepto de imagen del de identidad tanto analítica como estratégica;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• Identificar el concepto de estrategia vinculado a la comunicación y a la gestión de la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imagen;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• Incorporar los niveles de gestión de los atributos identitarios visuales a los niveles de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intervención de la gestión comunicativa empresarial;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• Detectar las necesidades de una organización en proceso de cambios culturales para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ofrecer soluciones adaptadas;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• Fortalecer el manejo de comunicaciones internas y externas para que su discurso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guarde coherencia con su identidad;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• Diferenciar y saber diseñar estrategias interdisciplinarias para optimizar recursos y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concretar los objetivos;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lastRenderedPageBreak/>
        <w:t>• Conocer la complejidad de las comunicaciones, su análisis, intervención y gestión;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• Implementar conceptos y tendencias al plan que fortalezcan el brand equity;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• Adaptar las habilidades y capacidades desarrolladas hasta el momento para lograr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estrategias de comunicación creativas y efectivas.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:rsidR="00976028" w:rsidRDefault="00976028" w:rsidP="0097602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bCs/>
          <w:color w:val="000000"/>
        </w:rPr>
        <w:t xml:space="preserve"> ASIGNACIÓN HORARIA: 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i/>
          <w:iCs/>
          <w:color w:val="4A442A"/>
        </w:rPr>
      </w:pPr>
    </w:p>
    <w:tbl>
      <w:tblPr>
        <w:tblW w:w="80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5"/>
        <w:gridCol w:w="1155"/>
        <w:gridCol w:w="1155"/>
        <w:gridCol w:w="1035"/>
      </w:tblGrid>
      <w:tr w:rsidR="00976028" w:rsidTr="00147117">
        <w:trPr>
          <w:cantSplit/>
          <w:trHeight w:val="348"/>
          <w:tblHeader/>
          <w:jc w:val="center"/>
        </w:trPr>
        <w:tc>
          <w:tcPr>
            <w:tcW w:w="466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Total</w:t>
            </w:r>
          </w:p>
        </w:tc>
      </w:tr>
      <w:tr w:rsidR="00976028" w:rsidTr="00147117">
        <w:trPr>
          <w:cantSplit/>
          <w:trHeight w:val="567"/>
          <w:tblHeader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Carga horaria presencial/presencial remota </w:t>
            </w:r>
            <w:r>
              <w:rPr>
                <w:color w:val="000000"/>
              </w:rPr>
              <w:t>(videoconferencia)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----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976028" w:rsidTr="00147117">
        <w:trPr>
          <w:cantSplit/>
          <w:trHeight w:val="567"/>
          <w:tblHeader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Carga horaria a distancia </w:t>
            </w:r>
          </w:p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(trabajo asincrónico en plataformas</w:t>
            </w:r>
            <w:r>
              <w:rPr>
                <w:b/>
                <w:bCs/>
                <w:color w:val="000000"/>
              </w:rPr>
              <w:t xml:space="preserve"> - </w:t>
            </w:r>
            <w:r>
              <w:rPr>
                <w:color w:val="000000"/>
              </w:rPr>
              <w:t>en horas y en %)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----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976028" w:rsidTr="00147117">
        <w:trPr>
          <w:cantSplit/>
          <w:trHeight w:val="567"/>
          <w:tblHeader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Carga horaria general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76028" w:rsidRDefault="00976028" w:rsidP="00147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</w:tbl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:rsidR="00976028" w:rsidRDefault="00976028" w:rsidP="0097602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b/>
          <w:bCs/>
          <w:color w:val="000000"/>
        </w:rPr>
        <w:t>UNIDADES TEMÁTICAS, CONTENIDOS, BIBLIOGRAFÍA POR UNIDAD TEMÁTICA: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b/>
          <w:bCs/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color w:val="000000"/>
        </w:rPr>
      </w:pPr>
      <w:r>
        <w:rPr>
          <w:b/>
          <w:bCs/>
          <w:color w:val="000000"/>
        </w:rPr>
        <w:t xml:space="preserve"> UNIDAD 1:</w:t>
      </w:r>
      <w:r>
        <w:rPr>
          <w:color w:val="000000"/>
        </w:rPr>
        <w:t xml:space="preserve"> 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color w:val="000000"/>
        </w:rPr>
      </w:pPr>
      <w:r>
        <w:rPr>
          <w:color w:val="000000"/>
        </w:rPr>
        <w:t xml:space="preserve">Axiomas de la comunicación y su relación con el mensaje publicitario. Modelos de comunicación. </w:t>
      </w:r>
      <w:r>
        <w:rPr>
          <w:color w:val="000000"/>
          <w:highlight w:val="white"/>
        </w:rPr>
        <w:t>Elementos que intervienen. La comunicación como interrelación. Propuestas metodológicas.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color w:val="262626"/>
          <w:highlight w:val="white"/>
        </w:rPr>
      </w:pPr>
      <w:r>
        <w:rPr>
          <w:color w:val="000000"/>
        </w:rPr>
        <w:t xml:space="preserve">Elevator pitch. Análisis de medios. </w:t>
      </w:r>
      <w:r>
        <w:rPr>
          <w:color w:val="262626"/>
          <w:highlight w:val="white"/>
        </w:rPr>
        <w:t>Clipping de medios. Tarea de gabinete de prensa.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color w:val="262626"/>
          <w:highlight w:val="white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b/>
          <w:bCs/>
          <w:color w:val="262626"/>
          <w:highlight w:val="white"/>
        </w:rPr>
      </w:pPr>
      <w:r>
        <w:rPr>
          <w:b/>
          <w:bCs/>
          <w:color w:val="262626"/>
          <w:highlight w:val="white"/>
        </w:rPr>
        <w:t xml:space="preserve">Bibliografía: </w:t>
      </w:r>
    </w:p>
    <w:p w:rsidR="00976028" w:rsidRDefault="00976028" w:rsidP="0097602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ONGALLO, Carlos. Manual de comunicación: guía para gestionar el conocimiento y las relaciones humanas en empresas y organizaciones. Capítulo 1.2: “La comunicación en las organizaciones. Concepto de comunicación”. </w:t>
      </w:r>
      <w:r>
        <w:rPr>
          <w:sz w:val="22"/>
          <w:szCs w:val="22"/>
        </w:rPr>
        <w:t>Dykinson</w:t>
      </w:r>
      <w:r>
        <w:rPr>
          <w:color w:val="000000"/>
          <w:sz w:val="22"/>
          <w:szCs w:val="22"/>
        </w:rPr>
        <w:t>, Madrid, 2007.</w:t>
      </w:r>
    </w:p>
    <w:p w:rsidR="00976028" w:rsidRDefault="00976028" w:rsidP="0097602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76" w:lineRule="auto"/>
        <w:jc w:val="both"/>
        <w:rPr>
          <w:color w:val="000000"/>
          <w:sz w:val="22"/>
          <w:szCs w:val="22"/>
        </w:rPr>
      </w:pPr>
      <w:bookmarkStart w:id="1" w:name="_heading=h.7cnxcrcdrg85" w:colFirst="0" w:colLast="0"/>
      <w:bookmarkEnd w:id="1"/>
      <w:r>
        <w:rPr>
          <w:color w:val="000000"/>
          <w:sz w:val="22"/>
          <w:szCs w:val="22"/>
        </w:rPr>
        <w:t>VÁZQUEZ, Adolfo. Gestión comunicacional para distintos sectores en Etkin, Eugenia (comp.) Gestión de la comunicación para organizaciones. Crujía, Buenos Aires, Argentina, 2019.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color w:val="262626"/>
          <w:highlight w:val="white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b/>
          <w:bCs/>
          <w:color w:val="000000"/>
        </w:rPr>
      </w:pPr>
      <w:r>
        <w:rPr>
          <w:b/>
          <w:bCs/>
          <w:color w:val="000000"/>
        </w:rPr>
        <w:t xml:space="preserve">UNIDAD 2: 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b/>
          <w:bCs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color w:val="000000"/>
        </w:rPr>
      </w:pPr>
      <w:r>
        <w:rPr>
          <w:color w:val="000000"/>
        </w:rPr>
        <w:t>Fundamentos del debate y opinión pública. Medios de comunicación y  política. Construcción de la campaña política. Estrategias de comunicación política y estrategias de campaña. Redacción de piezas de comunicación para cada ámbito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b/>
          <w:bCs/>
          <w:color w:val="262626"/>
          <w:highlight w:val="white"/>
        </w:rPr>
      </w:pPr>
      <w:r>
        <w:rPr>
          <w:b/>
          <w:bCs/>
          <w:color w:val="262626"/>
          <w:highlight w:val="white"/>
        </w:rPr>
        <w:t xml:space="preserve">Bibliografía: 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color w:val="000000"/>
        </w:rPr>
      </w:pPr>
    </w:p>
    <w:p w:rsidR="00976028" w:rsidRDefault="00976028" w:rsidP="0097602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MADRIGAL Barrón, Patricia. La comunicación institucional ante el reto de la responsabilidad social. Madrid: REDMARKA. Revista Digital de Marketing Aplicado. 2013.</w:t>
      </w:r>
    </w:p>
    <w:p w:rsidR="00976028" w:rsidRDefault="00976028" w:rsidP="0097602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RUIZ BALZA, Alejandro y COPPOLA, Gustavo. (2011). Gestión de Comunicación. Issues Management. Buenos Aires: </w:t>
      </w:r>
      <w:r>
        <w:rPr>
          <w:sz w:val="22"/>
          <w:szCs w:val="22"/>
        </w:rPr>
        <w:t>Lcrj´apero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b/>
          <w:bCs/>
          <w:color w:val="000000"/>
        </w:rPr>
      </w:pPr>
      <w:r>
        <w:rPr>
          <w:color w:val="000000"/>
        </w:rPr>
        <w:t xml:space="preserve"> </w:t>
      </w:r>
      <w:r>
        <w:rPr>
          <w:b/>
          <w:bCs/>
          <w:color w:val="000000"/>
        </w:rPr>
        <w:t>UNIDAD 3: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b/>
          <w:bCs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color w:val="000000"/>
        </w:rPr>
      </w:pPr>
      <w:r>
        <w:rPr>
          <w:color w:val="000000"/>
        </w:rPr>
        <w:t>Plataformas actuales útiles para contacto con clientes, cómo funcionan, cómo manejarse dentro de las mismas.</w:t>
      </w:r>
      <w:r>
        <w:rPr>
          <w:color w:val="000000"/>
          <w:highlight w:val="white"/>
        </w:rPr>
        <w:t xml:space="preserve"> Estrategias del mundo digital</w:t>
      </w:r>
      <w:r>
        <w:rPr>
          <w:color w:val="000000"/>
        </w:rPr>
        <w:t xml:space="preserve">, Posicionamiento Digital, Estrategia Online, Confección y defensa de infografías. 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color w:val="000000"/>
        </w:rPr>
      </w:pPr>
      <w:r>
        <w:rPr>
          <w:b/>
          <w:bCs/>
          <w:color w:val="262626"/>
          <w:highlight w:val="white"/>
        </w:rPr>
        <w:t>Bibliografía: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color w:val="000000"/>
        </w:rPr>
      </w:pPr>
    </w:p>
    <w:p w:rsidR="00976028" w:rsidRDefault="00976028" w:rsidP="0097602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ISLAS CARMONA, Octavio, GUTIÉRREZ CORTES, Fernando y STRATE, Lance (coordinadores), (2016). La Comprensión en los Medios en la Era Digital. Buenos Aires: Alfaomega</w:t>
      </w:r>
    </w:p>
    <w:p w:rsidR="00976028" w:rsidRDefault="00976028" w:rsidP="00976028">
      <w:pPr>
        <w:ind w:hanging="2"/>
        <w:jc w:val="both"/>
        <w:rPr>
          <w:sz w:val="22"/>
          <w:szCs w:val="22"/>
        </w:rPr>
      </w:pPr>
    </w:p>
    <w:p w:rsidR="00976028" w:rsidRDefault="00976028" w:rsidP="0097602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ISLAS CARMONA, Octavio, GUTIÉRREZ CORTES, Fernando y ARRIBAS-URRUTIA, Amaia. (2019). Las nuevas leyes de los nuevos medios y la reconfiguración del entorno. Palabra Clave, 22(2), e2229. DOI: 10.5294/pacla.2019.22.2.9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  <w:rPr>
          <w:b/>
          <w:bCs/>
          <w:color w:val="000000"/>
        </w:rPr>
      </w:pPr>
      <w:r>
        <w:rPr>
          <w:b/>
          <w:bCs/>
          <w:color w:val="000000"/>
        </w:rPr>
        <w:t>UNIDAD 4: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  <w:rPr>
          <w:b/>
          <w:bCs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  <w:rPr>
          <w:color w:val="000000"/>
        </w:rPr>
      </w:pPr>
      <w:r>
        <w:rPr>
          <w:color w:val="000000"/>
        </w:rPr>
        <w:t>Marca, imagen, percepción e identidad;</w:t>
      </w:r>
      <w:r>
        <w:rPr>
          <w:color w:val="000000"/>
          <w:highlight w:val="white"/>
        </w:rPr>
        <w:t xml:space="preserve"> Concepto y construcción. La construcción de la imagen institucional. Comunicación y práctica profesional en diferentes ámbitos: privado, público, tercer sector. Imagen percibida por el público. Reputación. Prestigio y </w:t>
      </w:r>
      <w:r>
        <w:rPr>
          <w:highlight w:val="white"/>
        </w:rPr>
        <w:t>notoriedad</w:t>
      </w:r>
      <w:r>
        <w:rPr>
          <w:color w:val="000000"/>
          <w:highlight w:val="white"/>
        </w:rPr>
        <w:t xml:space="preserve"> Institucional.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  <w:rPr>
          <w:color w:val="000000"/>
        </w:rPr>
      </w:pPr>
      <w:r>
        <w:rPr>
          <w:color w:val="000000"/>
        </w:rPr>
        <w:t xml:space="preserve">Brand equity. Buyer persona. Análisis de perfiles de público objetivo. 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  <w:rPr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color w:val="000000"/>
        </w:rPr>
      </w:pPr>
      <w:r>
        <w:rPr>
          <w:b/>
          <w:bCs/>
          <w:color w:val="262626"/>
          <w:highlight w:val="white"/>
        </w:rPr>
        <w:t>Bibliografía: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  <w:rPr>
          <w:color w:val="000000"/>
        </w:rPr>
      </w:pPr>
    </w:p>
    <w:p w:rsidR="00976028" w:rsidRDefault="00976028" w:rsidP="0097602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COSTA, Joan: Imagen Corporativa en el siglo XXI (2° edición), Buenos Aires, La Crujía, 2003, capítulos I, II, IV, V y VI. </w:t>
      </w:r>
    </w:p>
    <w:p w:rsidR="00976028" w:rsidRDefault="00976028" w:rsidP="0097602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VILLAFAÑE, Justo. Imagen positiva, gestión estratégica de la imagen de las empresas. Madrid: Pirámide, 1993. 341 p. Empresa y gestión. 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  <w:rPr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  <w:rPr>
          <w:color w:val="000000"/>
        </w:rPr>
      </w:pPr>
      <w:r>
        <w:rPr>
          <w:b/>
          <w:bCs/>
          <w:color w:val="000000"/>
        </w:rPr>
        <w:t>UNIDAD 5</w:t>
      </w:r>
      <w:r>
        <w:rPr>
          <w:color w:val="000000"/>
        </w:rPr>
        <w:t>: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  <w:rPr>
          <w:color w:val="3C4043"/>
        </w:rPr>
      </w:pPr>
      <w:r>
        <w:rPr>
          <w:color w:val="000000"/>
        </w:rPr>
        <w:t xml:space="preserve">Neuromarketing. Marketing emocional. Storytelling. Explainer video. </w:t>
      </w:r>
      <w:r>
        <w:rPr>
          <w:color w:val="3C4043"/>
          <w:highlight w:val="white"/>
        </w:rPr>
        <w:t xml:space="preserve">Fundamentación,  oralidad, argumentación y gestualidad,  postura frente a la cámara. 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  <w:rPr>
          <w:color w:val="3C4043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hanging="2"/>
        <w:rPr>
          <w:color w:val="000000"/>
        </w:rPr>
      </w:pPr>
      <w:r>
        <w:rPr>
          <w:b/>
          <w:bCs/>
          <w:color w:val="262626"/>
          <w:highlight w:val="white"/>
        </w:rPr>
        <w:t>Bibliografía: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  <w:rPr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  <w:rPr>
          <w:color w:val="000000"/>
        </w:rPr>
      </w:pPr>
    </w:p>
    <w:p w:rsidR="00976028" w:rsidRDefault="00976028" w:rsidP="009760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</w:pPr>
      <w:r>
        <w:rPr>
          <w:rFonts w:ascii="Arial" w:eastAsia="Arial" w:hAnsi="Arial" w:cs="Arial"/>
          <w:color w:val="000000"/>
          <w:sz w:val="22"/>
          <w:szCs w:val="22"/>
        </w:rPr>
        <w:t>Álvarez Undurraga, Gabriel. (2007) “Expresión Oral y Escrita” Universidad Central de Chile. Santiago de Chile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:rsidR="00976028" w:rsidRDefault="00976028" w:rsidP="0097602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4A442A"/>
        </w:rPr>
      </w:pPr>
      <w:r>
        <w:rPr>
          <w:b/>
          <w:bCs/>
          <w:color w:val="000000"/>
        </w:rPr>
        <w:t>METODOLOGÍA</w:t>
      </w:r>
      <w:r>
        <w:rPr>
          <w:color w:val="000000"/>
        </w:rPr>
        <w:t xml:space="preserve">: 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:rsidR="00976028" w:rsidRDefault="00976028" w:rsidP="0097602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El curso tendrá una modalidad asincrónica, con encuentros sincrónicos semanales de baja carga horaria. Se abordará la problemática de las unidades con un enfoque teórico general, de modo que a partir del manejo de los conceptos básicos de la materia, los alumnos puedan realizar un análisis práctico de los fenómenos de comunicación particulares. </w:t>
      </w:r>
    </w:p>
    <w:p w:rsidR="00976028" w:rsidRDefault="00976028" w:rsidP="0097602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Se trabajará intensamente la bibliografía citada en el programa,tanto en lo </w:t>
      </w:r>
      <w:r>
        <w:rPr>
          <w:sz w:val="22"/>
          <w:szCs w:val="22"/>
        </w:rPr>
        <w:t>sincrónico</w:t>
      </w:r>
      <w:r>
        <w:rPr>
          <w:color w:val="000000"/>
          <w:sz w:val="22"/>
          <w:szCs w:val="22"/>
        </w:rPr>
        <w:t xml:space="preserve"> como en lo asincr</w:t>
      </w:r>
      <w:r>
        <w:rPr>
          <w:sz w:val="22"/>
          <w:szCs w:val="22"/>
        </w:rPr>
        <w:t>ó</w:t>
      </w:r>
      <w:r>
        <w:rPr>
          <w:color w:val="000000"/>
          <w:sz w:val="22"/>
          <w:szCs w:val="22"/>
        </w:rPr>
        <w:t xml:space="preserve">nico, que servirá de punto de partida para el análisis de casos prácticos. </w:t>
      </w:r>
    </w:p>
    <w:p w:rsidR="00976028" w:rsidRDefault="00976028" w:rsidP="0097602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Todas las clases se </w:t>
      </w:r>
      <w:r>
        <w:rPr>
          <w:sz w:val="22"/>
          <w:szCs w:val="22"/>
        </w:rPr>
        <w:t>asignan</w:t>
      </w:r>
      <w:r>
        <w:rPr>
          <w:color w:val="000000"/>
          <w:sz w:val="22"/>
          <w:szCs w:val="22"/>
        </w:rPr>
        <w:t xml:space="preserve"> lecturas para que los estudiantes presenten y debatan en la semana siguiente e</w:t>
      </w:r>
      <w:r>
        <w:rPr>
          <w:color w:val="000000"/>
          <w:sz w:val="21"/>
          <w:szCs w:val="21"/>
        </w:rPr>
        <w:t>stas actividades semanales son obligatorias y los alumnos deben poder realizar a partir del contenido asincrónico</w:t>
      </w:r>
      <w:r>
        <w:rPr>
          <w:color w:val="000000"/>
          <w:sz w:val="22"/>
          <w:szCs w:val="22"/>
        </w:rPr>
        <w:t xml:space="preserve">.  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>En el entorno virtual asincrónico, se compartirán las presentaciones mediante Blackboard para que los alumnos puedan tener acceso, revisarlas y poder realizar diferentes producciones acordes al contenido trabajado. Los alumnos tendrán además la posibilidad de contactar al docente mediante el mail para dudas o consultas. Distintos formatos de material teórico y audiovisual para poder integrar todos los conocimientos aprendidos en la carrera en trabajos prácticos a entregar en fechas estipuladas por la docente.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:rsidR="00976028" w:rsidRDefault="00976028" w:rsidP="0097602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bCs/>
          <w:color w:val="000000"/>
        </w:rPr>
        <w:t xml:space="preserve">  DETALLE DE ACTIVIDADES DE FORMACIÓN PRÁCTICA  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b/>
          <w:bCs/>
          <w:color w:val="000000"/>
        </w:rPr>
      </w:pPr>
    </w:p>
    <w:p w:rsidR="00976028" w:rsidRDefault="00976028" w:rsidP="00976028">
      <w:pP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El docente realizará la presentación de los objetivos diarios, y a continuación la presentación del tema a trabajar, anclando el mismo en el Programa Académico, en la unidad temática y a la bibliografía obligatoria.</w:t>
      </w:r>
    </w:p>
    <w:p w:rsidR="00976028" w:rsidRDefault="00976028" w:rsidP="00976028">
      <w:pP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Luego se realizarán diferentes actividades individuales y grupales para reforzar los objetivos planteados. Estas actividades variarán según el tema abordado: caso de estudio, videoconferencia, material audiovisual, etc.</w:t>
      </w:r>
    </w:p>
    <w:p w:rsidR="00976028" w:rsidRDefault="00976028" w:rsidP="00976028">
      <w:pP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Durante el transcurso del cuatrimestre, se propone la creación de un clima agradable, inclusivo, abierto y seguro en el aula para incentivar a los estudiantes a la participación dinámica de cada clase presencial. </w:t>
      </w:r>
    </w:p>
    <w:p w:rsidR="00976028" w:rsidRDefault="00976028" w:rsidP="00976028">
      <w:pPr>
        <w:ind w:hanging="2"/>
        <w:jc w:val="both"/>
        <w:rPr>
          <w:rFonts w:ascii="Arial" w:eastAsia="Arial" w:hAnsi="Arial" w:cs="Arial"/>
          <w:sz w:val="22"/>
          <w:szCs w:val="22"/>
        </w:rPr>
      </w:pPr>
    </w:p>
    <w:p w:rsidR="00976028" w:rsidRDefault="00976028" w:rsidP="00976028">
      <w:pPr>
        <w:ind w:hanging="2"/>
        <w:jc w:val="both"/>
        <w:rPr>
          <w:rFonts w:ascii="Arial" w:eastAsia="Arial" w:hAnsi="Arial" w:cs="Arial"/>
          <w:b/>
          <w:bCs/>
          <w:color w:val="222222"/>
          <w:sz w:val="22"/>
          <w:szCs w:val="22"/>
          <w:highlight w:val="white"/>
        </w:rPr>
      </w:pP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 xml:space="preserve">Las actividades semanales de práctica corresponden a las </w:t>
      </w:r>
      <w:r>
        <w:rPr>
          <w:rFonts w:ascii="Arial" w:eastAsia="Arial" w:hAnsi="Arial" w:cs="Arial"/>
          <w:b/>
          <w:bCs/>
          <w:color w:val="222222"/>
          <w:sz w:val="22"/>
          <w:szCs w:val="22"/>
          <w:highlight w:val="white"/>
        </w:rPr>
        <w:t xml:space="preserve">actividades asincrónicas </w:t>
      </w:r>
    </w:p>
    <w:p w:rsidR="00976028" w:rsidRDefault="00976028" w:rsidP="00976028">
      <w:pPr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Se propone realizar Actividades para que el estudiante pueda anclar los conocimientos y trabajarlos de manera individual en su práctica y se realizará </w:t>
      </w:r>
      <w:r>
        <w:rPr>
          <w:rFonts w:ascii="Arial" w:eastAsia="Arial" w:hAnsi="Arial" w:cs="Arial"/>
          <w:color w:val="000000"/>
          <w:sz w:val="21"/>
          <w:szCs w:val="21"/>
          <w:highlight w:val="white"/>
        </w:rPr>
        <w:t>seguimiento de los procesos generales e individuales de los estudiantes.</w:t>
      </w:r>
    </w:p>
    <w:p w:rsidR="00976028" w:rsidRDefault="00976028" w:rsidP="00976028">
      <w:pP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Estas Actividades se entregarán vía mail, y se presentarán a modo de foro interno dentro del aula según corresponda.</w:t>
      </w:r>
    </w:p>
    <w:p w:rsidR="00976028" w:rsidRDefault="00976028" w:rsidP="00976028">
      <w:pP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La bibliografía obligatoria de cada tema abordado será evaluada en todo momento a través de los cuestionamientos de los estudiantes, la oralidad de sus presentaciones, el vocabulario utilizado en los trabajos prácticos y el anclaje teórico de los mismos.</w:t>
      </w:r>
    </w:p>
    <w:p w:rsidR="00976028" w:rsidRDefault="00976028" w:rsidP="00976028">
      <w:pP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La propuesta se brindará a los alumnos en </w:t>
      </w:r>
      <w:r>
        <w:rPr>
          <w:rFonts w:ascii="Arial" w:eastAsia="Arial" w:hAnsi="Arial" w:cs="Arial"/>
          <w:b/>
          <w:bCs/>
          <w:sz w:val="22"/>
          <w:szCs w:val="22"/>
        </w:rPr>
        <w:t>modalidad asincrónica</w:t>
      </w:r>
      <w:r>
        <w:rPr>
          <w:rFonts w:ascii="Arial" w:eastAsia="Arial" w:hAnsi="Arial" w:cs="Arial"/>
          <w:sz w:val="22"/>
          <w:szCs w:val="22"/>
        </w:rPr>
        <w:t xml:space="preserve"> garantizando las estrategias de interacción académica presencial/virtual y el acceso a todos los recursos y materiales correspondientes a la asignatura a través del aula virtual correspondiente al SIED de la universidad.</w:t>
      </w:r>
    </w:p>
    <w:p w:rsidR="00976028" w:rsidRDefault="00976028" w:rsidP="00976028">
      <w:pP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La presentación de los temas se da de manera gradual de menor a mayor complejidad e integración.</w:t>
      </w:r>
    </w:p>
    <w:p w:rsidR="00976028" w:rsidRDefault="00976028" w:rsidP="00976028">
      <w:pPr>
        <w:ind w:hanging="2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976028" w:rsidRDefault="00976028" w:rsidP="00976028">
      <w:pPr>
        <w:ind w:hanging="2"/>
        <w:jc w:val="both"/>
        <w:rPr>
          <w:sz w:val="20"/>
          <w:szCs w:val="20"/>
        </w:rPr>
      </w:pPr>
    </w:p>
    <w:p w:rsidR="00976028" w:rsidRDefault="00976028" w:rsidP="00976028">
      <w:pPr>
        <w:ind w:hanging="2"/>
        <w:jc w:val="both"/>
        <w:rPr>
          <w:sz w:val="20"/>
          <w:szCs w:val="20"/>
        </w:rPr>
      </w:pPr>
    </w:p>
    <w:tbl>
      <w:tblPr>
        <w:tblW w:w="9793" w:type="dxa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2008"/>
      </w:tblGrid>
      <w:tr w:rsidR="00976028" w:rsidTr="00147117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Unidad 1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Actividad prevista</w:t>
            </w:r>
          </w:p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20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976028" w:rsidTr="00147117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0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i/>
                <w:iCs/>
                <w:sz w:val="20"/>
                <w:szCs w:val="20"/>
              </w:rPr>
            </w:pPr>
          </w:p>
        </w:tc>
      </w:tr>
      <w:tr w:rsidR="00976028" w:rsidTr="0014711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shd w:val="clear" w:color="auto" w:fill="FFFFFF"/>
              <w:spacing w:line="276" w:lineRule="auto"/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organización y el pensamiento simbólico.</w:t>
            </w:r>
          </w:p>
          <w:p w:rsidR="00976028" w:rsidRDefault="00976028" w:rsidP="00147117">
            <w:pPr>
              <w:shd w:val="clear" w:color="auto" w:fill="FFFFFF"/>
              <w:spacing w:line="276" w:lineRule="auto"/>
              <w:ind w:hanging="2"/>
              <w:rPr>
                <w:sz w:val="22"/>
                <w:szCs w:val="22"/>
              </w:rPr>
            </w:pPr>
          </w:p>
          <w:p w:rsidR="00976028" w:rsidRDefault="00976028" w:rsidP="00147117">
            <w:pPr>
              <w:shd w:val="clear" w:color="auto" w:fill="FFFFFF"/>
              <w:spacing w:line="276" w:lineRule="auto"/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Contenido</w:t>
            </w:r>
            <w:r>
              <w:rPr>
                <w:sz w:val="22"/>
                <w:szCs w:val="22"/>
              </w:rPr>
              <w:t>:</w:t>
            </w:r>
          </w:p>
          <w:p w:rsidR="00976028" w:rsidRDefault="00976028" w:rsidP="00147117">
            <w:pPr>
              <w:shd w:val="clear" w:color="auto" w:fill="FFFFFF"/>
              <w:spacing w:line="276" w:lineRule="auto"/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Concepto de organización. La organización como red de conversaciones. Dinámica de las organizaciones. Las organizaciones en el lenguaje. La Organización. El lenguaje como semiosis social. La organización y el pensamiento simbólico. Sistemas simbólicos y unidades significantes</w:t>
            </w:r>
            <w:r>
              <w:rPr>
                <w:b/>
                <w:bCs/>
                <w:sz w:val="22"/>
                <w:szCs w:val="22"/>
              </w:rPr>
              <w:t>.  </w:t>
            </w:r>
            <w:r>
              <w:rPr>
                <w:sz w:val="22"/>
                <w:szCs w:val="22"/>
              </w:rPr>
              <w:t xml:space="preserve"> El lenguaje como semiosis social. La organización y el pensamiento simbólico. Construcción social de la realidad. Sistemas simbólicos y unidades significantes. Semiosis asistida. Sinergia de significación.</w:t>
            </w:r>
          </w:p>
          <w:p w:rsidR="00976028" w:rsidRDefault="00976028" w:rsidP="00147117">
            <w:pPr>
              <w:ind w:hanging="2"/>
              <w:rPr>
                <w:i/>
                <w:iCs/>
                <w:sz w:val="20"/>
                <w:szCs w:val="20"/>
              </w:rPr>
            </w:pP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Recursos tecnológicos</w:t>
            </w:r>
            <w:r>
              <w:rPr>
                <w:sz w:val="22"/>
                <w:szCs w:val="22"/>
              </w:rPr>
              <w:t>: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Casos de estudio en formato audiovisual. 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Material bibliográfico digital.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Práctica</w:t>
            </w:r>
            <w:r>
              <w:rPr>
                <w:sz w:val="22"/>
                <w:szCs w:val="22"/>
              </w:rPr>
              <w:t>: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Lectura de casos de estudio. Actividades prácticas en clase en forma individual y en pequeños grupos. Debate y puesta en común.</w:t>
            </w:r>
          </w:p>
          <w:p w:rsidR="00976028" w:rsidRDefault="00976028" w:rsidP="00147117">
            <w:pPr>
              <w:ind w:hanging="2"/>
              <w:rPr>
                <w:i/>
                <w:iCs/>
                <w:sz w:val="20"/>
                <w:szCs w:val="20"/>
              </w:rPr>
            </w:pPr>
          </w:p>
          <w:p w:rsidR="00976028" w:rsidRDefault="00976028" w:rsidP="00147117">
            <w:pPr>
              <w:ind w:hanging="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3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2"/>
                <w:szCs w:val="22"/>
              </w:rPr>
              <w:t>1 hora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Obligatoria, individual o </w:t>
            </w:r>
            <w:r>
              <w:rPr>
                <w:sz w:val="22"/>
                <w:szCs w:val="22"/>
              </w:rPr>
              <w:lastRenderedPageBreak/>
              <w:t>grupal según corresponda</w:t>
            </w:r>
          </w:p>
        </w:tc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docente-estudiante</w:t>
            </w:r>
          </w:p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estudiante-estudiante</w:t>
            </w:r>
          </w:p>
        </w:tc>
      </w:tr>
      <w:tr w:rsidR="00976028" w:rsidTr="0014711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Identidad. Imagen y Reputación.</w:t>
            </w:r>
          </w:p>
          <w:p w:rsidR="00976028" w:rsidRDefault="00976028" w:rsidP="00147117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u w:val="single"/>
              </w:rPr>
              <w:t>Contenido</w:t>
            </w:r>
            <w:r>
              <w:rPr>
                <w:sz w:val="22"/>
                <w:szCs w:val="22"/>
                <w:highlight w:val="white"/>
              </w:rPr>
              <w:t>:</w:t>
            </w:r>
          </w:p>
          <w:p w:rsidR="00976028" w:rsidRDefault="00976028" w:rsidP="00147117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Diferencia entre Identidad, imagen y reputación institucional. Identidad, Imagen, Reputación. Concepto y construcción. La construcción de la imagen institucional. Comunicación y práctica profesional en diferentes ámbitos: privado, público, tercer sector. La importancia de los sectores externos. Herramientas y canales de comunicación. Imagen percibida por el público. Reputación. Prestigio y notoriedad Institucional. Posicionamiento. Conceptualización y Cultura, personalidad y estilo institucional. Identidad visual. La </w:t>
            </w:r>
            <w:r>
              <w:rPr>
                <w:sz w:val="22"/>
                <w:szCs w:val="22"/>
                <w:highlight w:val="white"/>
              </w:rPr>
              <w:lastRenderedPageBreak/>
              <w:t>construcción de la imagen institucional. La naturaleza del público. Características de los públicos.  Ajuste de los medios a los públicos.  Teoría de los stakeholders. Públicos de interés. Mapa de públicos. Construcción y análisis de diferentes mapas. Factores de poder. Grupos de presión y grupos de interés. Rol y status de los públicos. Comunicación institucional. Técnicas de Comunicación Institucional. La marca en su dimensión comunicativa.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Recursos tecnológicos</w:t>
            </w:r>
            <w:r>
              <w:rPr>
                <w:sz w:val="22"/>
                <w:szCs w:val="22"/>
              </w:rPr>
              <w:t>: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Casos de estudio en formato audiovisual.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Material bibliográfico digital.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Práctica</w:t>
            </w:r>
            <w:r>
              <w:rPr>
                <w:sz w:val="22"/>
                <w:szCs w:val="22"/>
              </w:rPr>
              <w:t>: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Lectura de casos de estudio. Actividades prácticas en clase en forma individual y en pequeños grupos. Debate y puesta en común.</w:t>
            </w:r>
          </w:p>
          <w:p w:rsidR="00976028" w:rsidRDefault="00976028" w:rsidP="00147117">
            <w:pPr>
              <w:ind w:hanging="2"/>
              <w:rPr>
                <w:i/>
                <w:iCs/>
                <w:sz w:val="20"/>
                <w:szCs w:val="20"/>
              </w:rPr>
            </w:pPr>
          </w:p>
          <w:p w:rsidR="00976028" w:rsidRDefault="00976028" w:rsidP="00147117">
            <w:pPr>
              <w:ind w:hanging="2"/>
              <w:rPr>
                <w:i/>
                <w:iCs/>
                <w:sz w:val="20"/>
                <w:szCs w:val="20"/>
              </w:rPr>
            </w:pPr>
          </w:p>
          <w:p w:rsidR="00976028" w:rsidRDefault="00976028" w:rsidP="00147117">
            <w:pPr>
              <w:ind w:hanging="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2"/>
                <w:szCs w:val="22"/>
              </w:rPr>
              <w:t>1 hora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Obligatoria, individual o grupal según corresponda</w:t>
            </w:r>
          </w:p>
        </w:tc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docente-estudiante</w:t>
            </w:r>
          </w:p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2"/>
                <w:szCs w:val="22"/>
              </w:rPr>
              <w:t>estudiante-estudiante</w:t>
            </w:r>
          </w:p>
        </w:tc>
      </w:tr>
      <w:tr w:rsidR="00976028" w:rsidTr="0014711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widowControl w:val="0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shd w:val="clear" w:color="auto" w:fill="FFFFFF"/>
              <w:spacing w:before="280" w:after="280" w:line="276" w:lineRule="auto"/>
              <w:ind w:firstLine="0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Responsabilidad Social Empresarial y Gestión de crisis.</w:t>
            </w:r>
          </w:p>
          <w:p w:rsidR="00976028" w:rsidRDefault="00976028" w:rsidP="00147117">
            <w:pPr>
              <w:shd w:val="clear" w:color="auto" w:fill="FFFFFF"/>
              <w:spacing w:before="280" w:after="280" w:line="276" w:lineRule="auto"/>
              <w:ind w:firstLine="0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u w:val="single"/>
              </w:rPr>
              <w:t>Contenido</w:t>
            </w:r>
            <w:r>
              <w:rPr>
                <w:sz w:val="22"/>
                <w:szCs w:val="22"/>
                <w:highlight w:val="white"/>
              </w:rPr>
              <w:t>: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Comunicación y práctica profesional en diferentes ámbitos: privado, público, tercer sector.  </w:t>
            </w:r>
            <w:r>
              <w:rPr>
                <w:sz w:val="22"/>
                <w:szCs w:val="22"/>
                <w:highlight w:val="white"/>
              </w:rPr>
              <w:t>La responsabilidad comunicacional. RSE como herramienta de comunicación. Campañas de RSE. Gestionar la comunicación desde el riesgo permanente. Morfología de una crisis. Principios de comunicación de crisis.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  <w:u w:val="single"/>
              </w:rPr>
            </w:pP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Recursos tecnológicos</w:t>
            </w:r>
            <w:r>
              <w:rPr>
                <w:sz w:val="22"/>
                <w:szCs w:val="22"/>
              </w:rPr>
              <w:t>: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Casos de estudio en formato audiovisual.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Material bibliográfico digital.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Práctica</w:t>
            </w:r>
            <w:r>
              <w:rPr>
                <w:sz w:val="22"/>
                <w:szCs w:val="22"/>
              </w:rPr>
              <w:t>: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Lectura de casos de estudio. Actividades prácticas en clase en forma individual y en pequeños grupos. Debate y puesta en común.</w:t>
            </w:r>
          </w:p>
          <w:p w:rsidR="00976028" w:rsidRDefault="00976028" w:rsidP="00147117">
            <w:pPr>
              <w:widowControl w:val="0"/>
              <w:spacing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lastRenderedPageBreak/>
              <w:t>3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 hora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Obligatoria, individual o grupal según corresponda</w:t>
            </w:r>
          </w:p>
        </w:tc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docente-estudiante</w:t>
            </w:r>
          </w:p>
          <w:p w:rsidR="00976028" w:rsidRDefault="00976028" w:rsidP="00147117">
            <w:pPr>
              <w:widowControl w:val="0"/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estudiante-estudiante</w:t>
            </w:r>
          </w:p>
        </w:tc>
      </w:tr>
      <w:tr w:rsidR="00976028" w:rsidTr="0014711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widowControl w:val="0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Estrategias para Comunicación Política y Comunicación Digital. </w:t>
            </w:r>
            <w:r>
              <w:rPr>
                <w:sz w:val="22"/>
                <w:szCs w:val="22"/>
                <w:highlight w:val="white"/>
              </w:rPr>
              <w:t>Gestión de medios y entretenimiento.</w:t>
            </w:r>
          </w:p>
          <w:p w:rsidR="00976028" w:rsidRDefault="00976028" w:rsidP="00147117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Contenido</w:t>
            </w:r>
            <w:r>
              <w:rPr>
                <w:sz w:val="22"/>
                <w:szCs w:val="22"/>
              </w:rPr>
              <w:t>:</w:t>
            </w:r>
          </w:p>
          <w:p w:rsidR="00976028" w:rsidRDefault="00976028" w:rsidP="00147117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Comunicación política y comunicación gubernamental</w:t>
            </w:r>
            <w:r>
              <w:rPr>
                <w:sz w:val="22"/>
                <w:szCs w:val="22"/>
                <w:highlight w:val="white"/>
              </w:rPr>
              <w:t>. Diferencias.</w:t>
            </w:r>
            <w:r>
              <w:rPr>
                <w:sz w:val="22"/>
                <w:szCs w:val="22"/>
              </w:rPr>
              <w:t> Características, Estrategias de comunicación política y estrategias de campaña. Redacción de piezas de comunicación para cada ámbito. Comunicación digital. Características. Aspectos Generales. Comunicación y Ciberculturas.  </w:t>
            </w:r>
            <w:r>
              <w:rPr>
                <w:sz w:val="22"/>
                <w:szCs w:val="22"/>
                <w:highlight w:val="white"/>
              </w:rPr>
              <w:t>Estrategias del mundo digital. Conocimientos en las áreas de: </w:t>
            </w:r>
            <w:r>
              <w:rPr>
                <w:sz w:val="22"/>
                <w:szCs w:val="22"/>
              </w:rPr>
              <w:t xml:space="preserve">Community Management, Comunicación Digital, Posicionamiento Digital, Estrategia Online, Redes Sociales, Desarrollo de Contenidos. </w:t>
            </w:r>
            <w:r>
              <w:rPr>
                <w:sz w:val="22"/>
                <w:szCs w:val="22"/>
                <w:highlight w:val="white"/>
              </w:rPr>
              <w:t>El sector de medios de comunicación y entretenimiento. Estrategias de comunicación</w:t>
            </w:r>
            <w:r>
              <w:rPr>
                <w:b/>
                <w:bCs/>
                <w:sz w:val="22"/>
                <w:szCs w:val="22"/>
                <w:highlight w:val="white"/>
              </w:rPr>
              <w:t> </w:t>
            </w:r>
            <w:r>
              <w:rPr>
                <w:sz w:val="22"/>
                <w:szCs w:val="22"/>
                <w:highlight w:val="white"/>
              </w:rPr>
              <w:t>sobre el consumo de medios, la eficacia publicitaria y el atractivo de los contenidos, audiencias, consumidores y distribuidores de contenidos (video on demand (VoD), DVDs, música, libros, videojuegos y consolas).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Recursos tecnológicos</w:t>
            </w:r>
            <w:r>
              <w:rPr>
                <w:sz w:val="22"/>
                <w:szCs w:val="22"/>
              </w:rPr>
              <w:t>: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Casos de estudio en formato audiovisual.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Material bibliográfico digital.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Práctica</w:t>
            </w:r>
            <w:r>
              <w:rPr>
                <w:sz w:val="22"/>
                <w:szCs w:val="22"/>
              </w:rPr>
              <w:t>: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Lectura de casos de estudio. Actividades prácticas en clase en forma individual y en pequeños grupos. Debate y puesta en común.</w:t>
            </w:r>
          </w:p>
          <w:p w:rsidR="00976028" w:rsidRDefault="00976028" w:rsidP="00147117">
            <w:pPr>
              <w:widowControl w:val="0"/>
              <w:spacing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 hora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widowControl w:val="0"/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Obligatoria, individual o grupal según corresponda</w:t>
            </w:r>
          </w:p>
        </w:tc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docente-estudiante</w:t>
            </w:r>
          </w:p>
          <w:p w:rsidR="00976028" w:rsidRDefault="00976028" w:rsidP="00147117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estudiante-estudiante</w:t>
            </w:r>
          </w:p>
        </w:tc>
      </w:tr>
      <w:tr w:rsidR="00976028" w:rsidTr="0014711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widowControl w:val="0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bookmarkStart w:id="2" w:name="_heading=h.gjdgxs" w:colFirst="0" w:colLast="0"/>
            <w:bookmarkEnd w:id="2"/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</w:rPr>
              <w:t>El plan de comunicación.</w:t>
            </w:r>
          </w:p>
          <w:p w:rsidR="00976028" w:rsidRDefault="00976028" w:rsidP="00147117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Contenido</w:t>
            </w:r>
            <w:r>
              <w:rPr>
                <w:sz w:val="22"/>
                <w:szCs w:val="22"/>
              </w:rPr>
              <w:t>:</w:t>
            </w:r>
          </w:p>
          <w:p w:rsidR="00976028" w:rsidRDefault="00976028" w:rsidP="00147117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</w:rPr>
              <w:t xml:space="preserve">Planificación estratégica de la comunicación. Aportes metodológicos. Estructura y funciones. La planificación estratégica y su dependencia de la investigación y planificación. ¿Cómo se planifica estratégicamente la comunicación en entornos cambiantes? 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Recursos tecnológicos</w:t>
            </w:r>
            <w:r>
              <w:rPr>
                <w:sz w:val="22"/>
                <w:szCs w:val="22"/>
              </w:rPr>
              <w:t>: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Casos de estudio en formato audiovisual.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Material bibliográfico digital.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Práctica</w:t>
            </w:r>
            <w:r>
              <w:rPr>
                <w:sz w:val="22"/>
                <w:szCs w:val="22"/>
              </w:rPr>
              <w:t>:</w:t>
            </w:r>
          </w:p>
          <w:p w:rsidR="00976028" w:rsidRDefault="00976028" w:rsidP="00147117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Lectura de casos de estudio. Actividades prácticas en clase en forma individual y en pequeños grupos. Debate y puesta en común.</w:t>
            </w:r>
          </w:p>
          <w:p w:rsidR="00976028" w:rsidRDefault="00976028" w:rsidP="00147117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widowControl w:val="0"/>
              <w:spacing w:line="276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 hora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Obligatoria, individual o grupal según corresponda</w:t>
            </w:r>
          </w:p>
        </w:tc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6028" w:rsidRDefault="00976028" w:rsidP="00147117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docente-estudiante</w:t>
            </w:r>
          </w:p>
          <w:p w:rsidR="00976028" w:rsidRDefault="00976028" w:rsidP="00147117">
            <w:pPr>
              <w:widowControl w:val="0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estudiante-estudiante</w:t>
            </w:r>
          </w:p>
          <w:p w:rsidR="00976028" w:rsidRDefault="00976028" w:rsidP="00147117">
            <w:pPr>
              <w:widowControl w:val="0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estudiante-docente</w:t>
            </w:r>
          </w:p>
        </w:tc>
      </w:tr>
    </w:tbl>
    <w:p w:rsidR="00976028" w:rsidRDefault="00976028" w:rsidP="00976028">
      <w:pPr>
        <w:ind w:hanging="2"/>
        <w:jc w:val="both"/>
        <w:rPr>
          <w:sz w:val="22"/>
          <w:szCs w:val="22"/>
        </w:rPr>
      </w:pPr>
    </w:p>
    <w:p w:rsidR="00976028" w:rsidRDefault="00976028" w:rsidP="00976028">
      <w:pPr>
        <w:ind w:hanging="2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</w:rPr>
      </w:pPr>
    </w:p>
    <w:p w:rsidR="00976028" w:rsidRDefault="00976028" w:rsidP="0097602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DETALLE DE ACTIVIDADES DE FORMACIÓN PRÁCTICA  </w:t>
      </w:r>
    </w:p>
    <w:p w:rsidR="00976028" w:rsidRDefault="00976028" w:rsidP="00976028">
      <w:pPr>
        <w:pBdr>
          <w:between w:val="nil"/>
        </w:pBdr>
        <w:ind w:hanging="2"/>
        <w:jc w:val="both"/>
        <w:rPr>
          <w:sz w:val="22"/>
          <w:szCs w:val="22"/>
        </w:rPr>
      </w:pP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Unidad 1</w:t>
      </w:r>
      <w:r>
        <w:rPr>
          <w:rFonts w:ascii="Arial" w:eastAsia="Arial" w:hAnsi="Arial" w:cs="Arial"/>
          <w:b/>
          <w:bCs/>
          <w:sz w:val="22"/>
          <w:szCs w:val="22"/>
        </w:rPr>
        <w:t>: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Actividad</w:t>
      </w:r>
      <w:r>
        <w:rPr>
          <w:rFonts w:ascii="Arial" w:eastAsia="Arial" w:hAnsi="Arial" w:cs="Arial"/>
          <w:sz w:val="22"/>
          <w:szCs w:val="22"/>
        </w:rPr>
        <w:t xml:space="preserve">: Lectura analítica y crítica de la bibliografía propuesta. 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Consigna</w:t>
      </w:r>
      <w:r>
        <w:rPr>
          <w:rFonts w:ascii="Arial" w:eastAsia="Arial" w:hAnsi="Arial" w:cs="Arial"/>
          <w:b/>
          <w:bCs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Realizar fichas de lectura. Lectura de casos de estudio. Debate y puesta en común.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Actividades en clase en pequeños grupos: cuestionarios con resolución práctica.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Objetivos:</w:t>
      </w:r>
      <w:r>
        <w:rPr>
          <w:rFonts w:ascii="Arial" w:eastAsia="Arial" w:hAnsi="Arial" w:cs="Arial"/>
          <w:sz w:val="22"/>
          <w:szCs w:val="22"/>
        </w:rPr>
        <w:t xml:space="preserve"> Observar y analizar diferentes tipos de material audiovisual propuesto por el docente y hacer una puesta en común realizando un anclaje en los temas pertinentes.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Modalidad</w:t>
      </w:r>
      <w:r>
        <w:rPr>
          <w:rFonts w:ascii="Arial" w:eastAsia="Arial" w:hAnsi="Arial" w:cs="Arial"/>
          <w:b/>
          <w:bCs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actividad grupal obligatoria de 2 hora de duración.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Evaluación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: </w:t>
      </w:r>
      <w:r>
        <w:rPr>
          <w:rFonts w:ascii="Arial" w:eastAsia="Arial" w:hAnsi="Arial" w:cs="Arial"/>
          <w:sz w:val="22"/>
          <w:szCs w:val="22"/>
        </w:rPr>
        <w:t>individual, de tipo conceptual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Criterios de evaluación</w:t>
      </w:r>
      <w:r>
        <w:rPr>
          <w:rFonts w:ascii="Arial" w:eastAsia="Arial" w:hAnsi="Arial" w:cs="Arial"/>
          <w:sz w:val="22"/>
          <w:szCs w:val="22"/>
        </w:rPr>
        <w:t>: Evidencia de lectura y comprensión del material bibliográfico abordado.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Unidad 2</w:t>
      </w:r>
      <w:r>
        <w:rPr>
          <w:rFonts w:ascii="Arial" w:eastAsia="Arial" w:hAnsi="Arial" w:cs="Arial"/>
          <w:b/>
          <w:bCs/>
          <w:sz w:val="22"/>
          <w:szCs w:val="22"/>
        </w:rPr>
        <w:t>: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Actividad</w:t>
      </w:r>
      <w:r>
        <w:rPr>
          <w:rFonts w:ascii="Arial" w:eastAsia="Arial" w:hAnsi="Arial" w:cs="Arial"/>
          <w:sz w:val="22"/>
          <w:szCs w:val="22"/>
        </w:rPr>
        <w:t xml:space="preserve">: Lectura analítica y confección de cuadro comparativo. Lectura de casos de estudio. </w:t>
      </w:r>
      <w:r>
        <w:rPr>
          <w:rFonts w:ascii="Arial" w:eastAsia="Arial" w:hAnsi="Arial" w:cs="Arial"/>
          <w:b/>
          <w:bCs/>
          <w:i/>
          <w:iCs/>
          <w:sz w:val="22"/>
          <w:szCs w:val="22"/>
        </w:rPr>
        <w:t>Consigna</w:t>
      </w:r>
      <w:r>
        <w:rPr>
          <w:rFonts w:ascii="Arial" w:eastAsia="Arial" w:hAnsi="Arial" w:cs="Arial"/>
          <w:b/>
          <w:bCs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Debate y puesta en común.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Objetivos:</w:t>
      </w:r>
      <w:r>
        <w:rPr>
          <w:rFonts w:ascii="Arial" w:eastAsia="Arial" w:hAnsi="Arial" w:cs="Arial"/>
          <w:sz w:val="22"/>
          <w:szCs w:val="22"/>
        </w:rPr>
        <w:t xml:space="preserve"> Observar y analizar diferentes tipos de material de comunicación.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Modalidad</w:t>
      </w:r>
      <w:r>
        <w:rPr>
          <w:rFonts w:ascii="Arial" w:eastAsia="Arial" w:hAnsi="Arial" w:cs="Arial"/>
          <w:sz w:val="22"/>
          <w:szCs w:val="22"/>
        </w:rPr>
        <w:t xml:space="preserve">: actividad individual. 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Criterios de evaluación:</w:t>
      </w:r>
      <w:r>
        <w:rPr>
          <w:rFonts w:ascii="Arial" w:eastAsia="Arial" w:hAnsi="Arial" w:cs="Arial"/>
          <w:sz w:val="22"/>
          <w:szCs w:val="22"/>
        </w:rPr>
        <w:t xml:space="preserve"> Identificación y diferenciación de conceptos teóricos y/o prácticos de la materia.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i/>
          <w:iCs/>
          <w:sz w:val="20"/>
          <w:szCs w:val="20"/>
        </w:rPr>
      </w:pP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b/>
          <w:bCs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Unidad 3:</w:t>
      </w:r>
    </w:p>
    <w:p w:rsidR="00976028" w:rsidRDefault="00976028" w:rsidP="00976028">
      <w:pPr>
        <w:pBdr>
          <w:between w:val="nil"/>
        </w:pBdr>
        <w:ind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Actividad:</w:t>
      </w:r>
      <w:r>
        <w:rPr>
          <w:rFonts w:ascii="Arial" w:eastAsia="Arial" w:hAnsi="Arial" w:cs="Arial"/>
          <w:sz w:val="22"/>
          <w:szCs w:val="22"/>
        </w:rPr>
        <w:t xml:space="preserve"> Análisis de casos y articulación con la bibliografía propuesta. 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Consigna</w:t>
      </w:r>
      <w:r>
        <w:rPr>
          <w:rFonts w:ascii="Arial" w:eastAsia="Arial" w:hAnsi="Arial" w:cs="Arial"/>
          <w:b/>
          <w:bCs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Debate y puesta en común.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Objetivos:</w:t>
      </w:r>
      <w:r>
        <w:rPr>
          <w:rFonts w:ascii="Arial" w:eastAsia="Arial" w:hAnsi="Arial" w:cs="Arial"/>
          <w:sz w:val="22"/>
          <w:szCs w:val="22"/>
        </w:rPr>
        <w:t xml:space="preserve"> Observar y analizar diferentes casos y sucesos propuesto por el docente y hacer una puesta en común.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lastRenderedPageBreak/>
        <w:t>Modalidad:</w:t>
      </w:r>
      <w:r>
        <w:rPr>
          <w:rFonts w:ascii="Arial" w:eastAsia="Arial" w:hAnsi="Arial" w:cs="Arial"/>
          <w:sz w:val="22"/>
          <w:szCs w:val="22"/>
        </w:rPr>
        <w:t xml:space="preserve"> actividad grupal.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Evaluación:</w:t>
      </w:r>
      <w:r>
        <w:rPr>
          <w:rFonts w:ascii="Arial" w:eastAsia="Arial" w:hAnsi="Arial" w:cs="Arial"/>
          <w:sz w:val="22"/>
          <w:szCs w:val="22"/>
        </w:rPr>
        <w:t xml:space="preserve"> grupal, de tipo conceptual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 xml:space="preserve">Criterios de evaluación: </w:t>
      </w:r>
      <w:r>
        <w:rPr>
          <w:rFonts w:ascii="Arial" w:eastAsia="Arial" w:hAnsi="Arial" w:cs="Arial"/>
          <w:sz w:val="22"/>
          <w:szCs w:val="22"/>
        </w:rPr>
        <w:t>Elaboración grupal conforme a las pautas de trabajo virtual colaborativo oportunamente establecidas.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Unidad 4: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Actividad</w:t>
      </w:r>
      <w:r>
        <w:rPr>
          <w:rFonts w:ascii="Arial" w:eastAsia="Arial" w:hAnsi="Arial" w:cs="Arial"/>
          <w:sz w:val="22"/>
          <w:szCs w:val="22"/>
        </w:rPr>
        <w:t xml:space="preserve">: Lectura analítica y crítica de la bibliografía propuesta. 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Consigna</w:t>
      </w:r>
      <w:r>
        <w:rPr>
          <w:rFonts w:ascii="Arial" w:eastAsia="Arial" w:hAnsi="Arial" w:cs="Arial"/>
          <w:b/>
          <w:bCs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Realizar fichas de lectura. Lectura de casos de estudio. Debate y puesta en común.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Actividades en clase en pequeños grupos: cuestionarios con resolución práctica.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Objetivos:</w:t>
      </w:r>
      <w:r>
        <w:rPr>
          <w:rFonts w:ascii="Arial" w:eastAsia="Arial" w:hAnsi="Arial" w:cs="Arial"/>
          <w:sz w:val="22"/>
          <w:szCs w:val="22"/>
        </w:rPr>
        <w:t xml:space="preserve"> Observar y analizar diferentes tipos de material audiovisual propuesto por el docente y hacer una puesta en común realizando un anclaje en los temas pertinentes.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Modalidad</w:t>
      </w:r>
      <w:r>
        <w:rPr>
          <w:rFonts w:ascii="Arial" w:eastAsia="Arial" w:hAnsi="Arial" w:cs="Arial"/>
          <w:b/>
          <w:bCs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actividad grupal obligatoria de 2 horas de duración.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Evaluación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: </w:t>
      </w:r>
      <w:r>
        <w:rPr>
          <w:rFonts w:ascii="Arial" w:eastAsia="Arial" w:hAnsi="Arial" w:cs="Arial"/>
          <w:sz w:val="22"/>
          <w:szCs w:val="22"/>
        </w:rPr>
        <w:t>individual, de tipo conceptual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Criterios de evaluación</w:t>
      </w:r>
      <w:r>
        <w:rPr>
          <w:rFonts w:ascii="Arial" w:eastAsia="Arial" w:hAnsi="Arial" w:cs="Arial"/>
          <w:sz w:val="22"/>
          <w:szCs w:val="22"/>
        </w:rPr>
        <w:t>: Evidencia de lectura y comprensión del material bibliográfico abordado.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b/>
          <w:bCs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Unidad 5: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Actividad:</w:t>
      </w:r>
      <w:r>
        <w:rPr>
          <w:rFonts w:ascii="Arial" w:eastAsia="Arial" w:hAnsi="Arial" w:cs="Arial"/>
          <w:sz w:val="22"/>
          <w:szCs w:val="22"/>
        </w:rPr>
        <w:t xml:space="preserve"> Lectura de casos de estudio. Debate y puesta en común.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Consigna:</w:t>
      </w:r>
      <w:r>
        <w:rPr>
          <w:rFonts w:ascii="Arial" w:eastAsia="Arial" w:hAnsi="Arial" w:cs="Arial"/>
          <w:sz w:val="22"/>
          <w:szCs w:val="22"/>
        </w:rPr>
        <w:t xml:space="preserve"> Analizar los cuestionarios y darle a cada problemática una resolución práctica.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Objetivos:</w:t>
      </w:r>
      <w:r>
        <w:rPr>
          <w:rFonts w:ascii="Arial" w:eastAsia="Arial" w:hAnsi="Arial" w:cs="Arial"/>
          <w:sz w:val="22"/>
          <w:szCs w:val="22"/>
        </w:rPr>
        <w:t xml:space="preserve"> Hacer una puesta en común realizando un anclaje en los temas pertinentes vistos en clase.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Modalidad:</w:t>
      </w:r>
      <w:r>
        <w:rPr>
          <w:rFonts w:ascii="Arial" w:eastAsia="Arial" w:hAnsi="Arial" w:cs="Arial"/>
          <w:sz w:val="22"/>
          <w:szCs w:val="22"/>
        </w:rPr>
        <w:t xml:space="preserve"> actividad individual.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Evaluación</w:t>
      </w:r>
      <w:r>
        <w:rPr>
          <w:rFonts w:ascii="Arial" w:eastAsia="Arial" w:hAnsi="Arial" w:cs="Arial"/>
          <w:sz w:val="22"/>
          <w:szCs w:val="22"/>
        </w:rPr>
        <w:t>: individual de tipo conceptual</w:t>
      </w:r>
    </w:p>
    <w:p w:rsidR="00976028" w:rsidRDefault="00976028" w:rsidP="00976028">
      <w:pPr>
        <w:pBdr>
          <w:between w:val="nil"/>
        </w:pBd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Criterios de evaluación</w:t>
      </w:r>
      <w:r>
        <w:rPr>
          <w:rFonts w:ascii="Arial" w:eastAsia="Arial" w:hAnsi="Arial" w:cs="Arial"/>
          <w:sz w:val="22"/>
          <w:szCs w:val="22"/>
        </w:rPr>
        <w:t>: Identificación y diferenciación de conceptos teóricos y/o prácticos de la materia.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:rsidR="00976028" w:rsidRDefault="00976028" w:rsidP="009760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PRÁCTICAS PROFESIONALES </w:t>
      </w:r>
      <w:r>
        <w:rPr>
          <w:color w:val="000000"/>
          <w:sz w:val="22"/>
          <w:szCs w:val="22"/>
        </w:rPr>
        <w:t>(si corresponde)</w:t>
      </w:r>
    </w:p>
    <w:p w:rsidR="00976028" w:rsidRDefault="00976028" w:rsidP="00976028">
      <w:pPr>
        <w:ind w:firstLine="0"/>
        <w:jc w:val="both"/>
        <w:rPr>
          <w:sz w:val="22"/>
          <w:szCs w:val="22"/>
        </w:rPr>
      </w:pPr>
    </w:p>
    <w:p w:rsidR="00976028" w:rsidRDefault="00976028" w:rsidP="00976028">
      <w:pPr>
        <w:ind w:firstLine="0"/>
        <w:jc w:val="both"/>
        <w:rPr>
          <w:sz w:val="22"/>
          <w:szCs w:val="22"/>
        </w:rPr>
      </w:pPr>
    </w:p>
    <w:p w:rsidR="00976028" w:rsidRDefault="00976028" w:rsidP="00976028">
      <w:pPr>
        <w:ind w:firstLine="0"/>
        <w:jc w:val="both"/>
        <w:rPr>
          <w:sz w:val="22"/>
          <w:szCs w:val="22"/>
        </w:rPr>
      </w:pPr>
    </w:p>
    <w:p w:rsidR="00976028" w:rsidRDefault="00976028" w:rsidP="009760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</w:rPr>
        <w:t>SEGUIMIENTO DE ALUMNOS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i/>
          <w:iCs/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modalidad de contacto será mediante Blackboard para las clases y en los horarios fuera de las mismas podrá ser vía correo electrónico.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</w:rPr>
      </w:pPr>
    </w:p>
    <w:p w:rsidR="00976028" w:rsidRDefault="00976028" w:rsidP="009760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bCs/>
          <w:color w:val="000000"/>
        </w:rPr>
        <w:t xml:space="preserve"> MODALIDAD DE EVALUACIÓN: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i/>
          <w:iCs/>
          <w:color w:val="4A442A"/>
        </w:rPr>
      </w:pPr>
    </w:p>
    <w:p w:rsidR="00976028" w:rsidRDefault="00976028" w:rsidP="0097602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 xml:space="preserve">La regularidad en la asignatura se logra con la participación en las actividades asincrónicas propuestas, </w:t>
      </w:r>
      <w:r>
        <w:t>cumplimentando</w:t>
      </w:r>
      <w:r>
        <w:rPr>
          <w:color w:val="000000"/>
        </w:rPr>
        <w:t xml:space="preserve"> los trabajos y actividades pautados en los respectivos materiales educativos. </w:t>
      </w:r>
    </w:p>
    <w:p w:rsidR="00976028" w:rsidRDefault="00976028" w:rsidP="0097602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 xml:space="preserve">Presenten en fecha y aprueben </w:t>
      </w:r>
      <w:r>
        <w:rPr>
          <w:b/>
          <w:bCs/>
          <w:color w:val="000000"/>
        </w:rPr>
        <w:t xml:space="preserve">los trabajos </w:t>
      </w:r>
      <w:r>
        <w:rPr>
          <w:b/>
          <w:bCs/>
        </w:rPr>
        <w:t>asincrónicos</w:t>
      </w:r>
      <w:r>
        <w:rPr>
          <w:b/>
          <w:bCs/>
          <w:color w:val="000000"/>
        </w:rPr>
        <w:t xml:space="preserve"> prácticos obligatorios</w:t>
      </w:r>
      <w:r>
        <w:rPr>
          <w:color w:val="000000"/>
        </w:rPr>
        <w:t xml:space="preserve"> propuestos durante la cursada. NO se aceptan trabajos prácticos fuera de la fecha de presentación. </w:t>
      </w:r>
    </w:p>
    <w:p w:rsidR="00976028" w:rsidRDefault="00976028" w:rsidP="0097602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>- Se prevé la realización de una instancia de evaluación parcial</w:t>
      </w:r>
    </w:p>
    <w:p w:rsidR="00976028" w:rsidRDefault="00976028" w:rsidP="0097602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</w:p>
    <w:p w:rsidR="00976028" w:rsidRDefault="00976028" w:rsidP="0097602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 xml:space="preserve">Además de la evaluación formativa, a los fines de la aprobación de la asignatura, se prevé la realización de una instancia de evaluación final </w:t>
      </w:r>
    </w:p>
    <w:p w:rsidR="00976028" w:rsidRDefault="00976028" w:rsidP="0097602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>En caso de no cumplirse estas condiciones por parte del alumno, o si tuviera falta</w:t>
      </w:r>
    </w:p>
    <w:p w:rsidR="00976028" w:rsidRDefault="00976028" w:rsidP="0097602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>de conectividad, se considera ausente debiendo presentarse en otro llamado y dentro de los plazos de validez de la regularidad.</w:t>
      </w:r>
    </w:p>
    <w:p w:rsidR="00976028" w:rsidRDefault="00976028" w:rsidP="00976028">
      <w:pPr>
        <w:jc w:val="both"/>
      </w:pPr>
    </w:p>
    <w:p w:rsidR="00976028" w:rsidRDefault="00976028" w:rsidP="00976028">
      <w:pPr>
        <w:jc w:val="both"/>
        <w:rPr>
          <w:b/>
          <w:bCs/>
        </w:rPr>
      </w:pPr>
      <w:r>
        <w:t xml:space="preserve">De acuerdo al reglamento de la Universidad del Salvador, </w:t>
      </w:r>
      <w:r>
        <w:rPr>
          <w:b/>
          <w:bCs/>
        </w:rPr>
        <w:t>la asignatura no es promocionable.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Se evaluará a través de trabajos prácticos con fechas de entrega. Búsqueda de información y material.   </w:t>
      </w:r>
    </w:p>
    <w:p w:rsidR="00976028" w:rsidRDefault="00976028" w:rsidP="00976028">
      <w:pPr>
        <w:widowControl w:val="0"/>
        <w:ind w:hanging="2"/>
        <w:jc w:val="both"/>
      </w:pPr>
      <w:r>
        <w:t xml:space="preserve">Los criterios de evaluación de las distintas instancias se realizarán en función de los siguientes </w:t>
      </w:r>
      <w:r>
        <w:lastRenderedPageBreak/>
        <w:t>parámetros:</w:t>
      </w:r>
    </w:p>
    <w:p w:rsidR="00976028" w:rsidRDefault="00976028" w:rsidP="00976028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Asistencia y participación en clase.</w:t>
      </w:r>
    </w:p>
    <w:p w:rsidR="00976028" w:rsidRDefault="00976028" w:rsidP="00976028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 xml:space="preserve">Capacidad para articular teoría y práctica. </w:t>
      </w:r>
    </w:p>
    <w:p w:rsidR="00976028" w:rsidRDefault="00976028" w:rsidP="00976028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Creatividad de las propuestas y presentaciones.</w:t>
      </w:r>
    </w:p>
    <w:p w:rsidR="00976028" w:rsidRDefault="00976028" w:rsidP="00976028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Calidad y consistencia de los contenidos.</w:t>
      </w:r>
    </w:p>
    <w:p w:rsidR="00976028" w:rsidRDefault="00976028" w:rsidP="00976028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Utilización de bibliografía obligatoria.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Aportes de fuentes complementarias a las obligatorias.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:rsidR="00976028" w:rsidRDefault="00976028" w:rsidP="009760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b/>
          <w:bCs/>
          <w:color w:val="000000"/>
          <w:sz w:val="22"/>
          <w:szCs w:val="22"/>
        </w:rPr>
        <w:t xml:space="preserve">BIBLIOGRAFÍA COMPLEMENTARIA: 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b/>
          <w:bCs/>
          <w:color w:val="000000"/>
          <w:sz w:val="22"/>
          <w:szCs w:val="22"/>
        </w:rPr>
      </w:pPr>
    </w:p>
    <w:p w:rsidR="00976028" w:rsidRDefault="00976028" w:rsidP="009760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AMADO SUÁREZ, Adriana y Castro Zuñeda, Carlos. Comunicaciones públicas, el modelo de la comunicación integrada. Buenos Aires: Temas, 1999. 303 p.</w:t>
      </w:r>
    </w:p>
    <w:p w:rsidR="00976028" w:rsidRDefault="00976028" w:rsidP="009760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VILLAFAÑE, Justo. La imagen corporativa en La gestión profesional de la imagen corporativa. Capítulo 2. Madrid: Pirámide, 1999.</w:t>
      </w:r>
    </w:p>
    <w:p w:rsidR="00976028" w:rsidRDefault="00976028" w:rsidP="009760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MADRIGAL Barrón, Patricia. La comunicación institucional ante el reto de la responsabilidad social. Madrid: REDMARKA. Revista Digital de Marketing Aplicado. 2013.</w:t>
      </w:r>
    </w:p>
    <w:p w:rsidR="00976028" w:rsidRDefault="00976028" w:rsidP="009760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 w:line="276" w:lineRule="auto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TURVIÑES</w:t>
      </w:r>
      <w:r>
        <w:rPr>
          <w:color w:val="000000"/>
          <w:sz w:val="22"/>
          <w:szCs w:val="22"/>
        </w:rPr>
        <w:t>, Victoria; MONSERRAT-GAUCHI, Juan. El plan estratégico de comunicación. Estructura y funciones. Razón y Palabra, vol. 18, núm. 88, diciembre, 2014. Instituto Tecnológico y de Estudios Superiores de Monterrey. Estado de México, México</w:t>
      </w:r>
    </w:p>
    <w:p w:rsidR="00976028" w:rsidRDefault="00976028" w:rsidP="00976028">
      <w:pPr>
        <w:shd w:val="clear" w:color="auto" w:fill="FFFFFF"/>
        <w:spacing w:after="160" w:line="276" w:lineRule="auto"/>
        <w:ind w:firstLine="0"/>
        <w:jc w:val="both"/>
        <w:rPr>
          <w:sz w:val="22"/>
          <w:szCs w:val="22"/>
        </w:rPr>
      </w:pPr>
    </w:p>
    <w:p w:rsidR="00976028" w:rsidRDefault="00976028" w:rsidP="009760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b/>
          <w:bCs/>
          <w:color w:val="000000"/>
          <w:sz w:val="22"/>
          <w:szCs w:val="22"/>
        </w:rPr>
        <w:t>FIRMA DE DOCENTES:</w:t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noProof/>
          <w:color w:val="000000"/>
          <w:sz w:val="22"/>
          <w:szCs w:val="22"/>
          <w:lang w:val="es-AR"/>
        </w:rPr>
        <w:drawing>
          <wp:inline distT="0" distB="0" distL="0" distR="0" wp14:anchorId="44139052" wp14:editId="3D945FD9">
            <wp:extent cx="1454241" cy="1157652"/>
            <wp:effectExtent l="0" t="0" r="0" b="0"/>
            <wp:docPr id="5" name="image1.jpg" descr="No hay ninguna descripción de la foto disponibl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No hay ninguna descripción de la foto disponible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4241" cy="11576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:rsidR="00976028" w:rsidRDefault="00976028" w:rsidP="0097602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:rsidR="00976028" w:rsidRDefault="00976028" w:rsidP="009760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b/>
          <w:bCs/>
          <w:color w:val="000000"/>
          <w:sz w:val="22"/>
          <w:szCs w:val="22"/>
        </w:rPr>
        <w:t>FIRMA DEL DIRECTOR DE LA CARRERA</w:t>
      </w:r>
    </w:p>
    <w:p w:rsidR="007078A5" w:rsidRDefault="00976028">
      <w:bookmarkStart w:id="3" w:name="_GoBack"/>
      <w:bookmarkEnd w:id="3"/>
    </w:p>
    <w:sectPr w:rsidR="007078A5">
      <w:footerReference w:type="even" r:id="rId8"/>
      <w:footerReference w:type="default" r:id="rId9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5FE" w:rsidRDefault="0097602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3D65FE" w:rsidRDefault="0097602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5FE" w:rsidRDefault="0097602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11</w:t>
    </w:r>
    <w:r>
      <w:rPr>
        <w:color w:val="000000"/>
      </w:rPr>
      <w:fldChar w:fldCharType="end"/>
    </w:r>
  </w:p>
  <w:p w:rsidR="003D65FE" w:rsidRDefault="0097602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 w:hanging="2"/>
      <w:rPr>
        <w:color w:val="00000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04D56"/>
    <w:multiLevelType w:val="multilevel"/>
    <w:tmpl w:val="47DC165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999190B"/>
    <w:multiLevelType w:val="multilevel"/>
    <w:tmpl w:val="C5DE527C"/>
    <w:lvl w:ilvl="0">
      <w:start w:val="9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  <w:bCs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  <w:bCs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  <w:bCs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  <w:bCs/>
      </w:rPr>
    </w:lvl>
  </w:abstractNum>
  <w:abstractNum w:abstractNumId="2" w15:restartNumberingAfterBreak="0">
    <w:nsid w:val="303107BC"/>
    <w:multiLevelType w:val="multilevel"/>
    <w:tmpl w:val="E7625818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58F6D95"/>
    <w:multiLevelType w:val="multilevel"/>
    <w:tmpl w:val="631C9B7E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CF41496"/>
    <w:multiLevelType w:val="multilevel"/>
    <w:tmpl w:val="C37E3654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0D24C57"/>
    <w:multiLevelType w:val="multilevel"/>
    <w:tmpl w:val="DDDCC284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E8309B9"/>
    <w:multiLevelType w:val="multilevel"/>
    <w:tmpl w:val="5A3E59D4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4CA77D6"/>
    <w:multiLevelType w:val="multilevel"/>
    <w:tmpl w:val="2AFEDF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6F8345E4"/>
    <w:multiLevelType w:val="multilevel"/>
    <w:tmpl w:val="F3968138"/>
    <w:lvl w:ilvl="0">
      <w:start w:val="12"/>
      <w:numFmt w:val="decimal"/>
      <w:lvlText w:val="%1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928F8"/>
    <w:multiLevelType w:val="multilevel"/>
    <w:tmpl w:val="FDF8CD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A461DB6"/>
    <w:multiLevelType w:val="multilevel"/>
    <w:tmpl w:val="12464A42"/>
    <w:lvl w:ilvl="0">
      <w:start w:val="9"/>
      <w:numFmt w:val="decimal"/>
      <w:lvlText w:val="%1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  <w:bCs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  <w:bCs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  <w:bCs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  <w:bCs/>
      </w:r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8"/>
  </w:num>
  <w:num w:numId="5">
    <w:abstractNumId w:val="7"/>
  </w:num>
  <w:num w:numId="6">
    <w:abstractNumId w:val="9"/>
  </w:num>
  <w:num w:numId="7">
    <w:abstractNumId w:val="0"/>
  </w:num>
  <w:num w:numId="8">
    <w:abstractNumId w:val="3"/>
  </w:num>
  <w:num w:numId="9">
    <w:abstractNumId w:val="5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810"/>
    <w:rsid w:val="004B5C1D"/>
    <w:rsid w:val="00976028"/>
    <w:rsid w:val="009F1EDB"/>
    <w:rsid w:val="00A3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6AA0DE-9859-48A5-B8FA-383FAA566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76028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val="es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rini.georgina@usal.edu.a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2918</Words>
  <Characters>16054</Characters>
  <Application>Microsoft Office Word</Application>
  <DocSecurity>0</DocSecurity>
  <Lines>133</Lines>
  <Paragraphs>37</Paragraphs>
  <ScaleCrop>false</ScaleCrop>
  <Company/>
  <LinksUpToDate>false</LinksUpToDate>
  <CharactersWithSpaces>18935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Lucio Aya Tenorio - Cs. Sociales</dc:creator>
  <cp:keywords/>
  <dc:description/>
  <cp:lastModifiedBy>Lucio Aya Tenorio - Cs. Sociales</cp:lastModifiedBy>
  <cp:revision>2</cp:revision>
  <dcterms:created xsi:type="dcterms:W3CDTF">2026-10-08T14:43:00Z</dcterms:created>
  <dcterms:modified xsi:type="dcterms:W3CDTF">2026-10-08T14:43:00Z</dcterms:modified>
</cp:coreProperties>
</file>