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9C4" w:rsidRDefault="00E749C4">
      <w:pPr>
        <w:spacing w:after="0" w:line="259" w:lineRule="auto"/>
        <w:ind w:left="0" w:firstLine="0"/>
        <w:jc w:val="left"/>
      </w:pPr>
      <w:r>
        <w:rPr>
          <w:rFonts w:ascii="Arial" w:eastAsia="Arial" w:hAnsi="Arial" w:cs="Arial"/>
          <w:sz w:val="22"/>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749C4" w:rsidTr="00E749C4">
        <w:tc>
          <w:tcPr>
            <w:tcW w:w="4814" w:type="dxa"/>
          </w:tcPr>
          <w:p w:rsidR="00E749C4" w:rsidRDefault="00E749C4" w:rsidP="00E749C4">
            <w:pPr>
              <w:spacing w:after="0" w:line="259" w:lineRule="auto"/>
              <w:ind w:left="1545" w:firstLine="0"/>
            </w:pPr>
            <w:r>
              <w:rPr>
                <w:noProof/>
              </w:rPr>
              <w:drawing>
                <wp:inline distT="0" distB="0" distL="0" distR="0" wp14:anchorId="24F3EC68" wp14:editId="3CC12A7F">
                  <wp:extent cx="561975" cy="714375"/>
                  <wp:effectExtent l="0" t="0" r="0" b="0"/>
                  <wp:docPr id="231" name="Pictu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7"/>
                          <a:stretch>
                            <a:fillRect/>
                          </a:stretch>
                        </pic:blipFill>
                        <pic:spPr>
                          <a:xfrm>
                            <a:off x="0" y="0"/>
                            <a:ext cx="561975" cy="714375"/>
                          </a:xfrm>
                          <a:prstGeom prst="rect">
                            <a:avLst/>
                          </a:prstGeom>
                        </pic:spPr>
                      </pic:pic>
                    </a:graphicData>
                  </a:graphic>
                </wp:inline>
              </w:drawing>
            </w:r>
          </w:p>
          <w:p w:rsidR="00E749C4" w:rsidRDefault="00E749C4" w:rsidP="00E749C4">
            <w:pPr>
              <w:spacing w:after="0" w:line="259" w:lineRule="auto"/>
              <w:ind w:left="1988" w:firstLine="0"/>
            </w:pPr>
          </w:p>
          <w:p w:rsidR="00E749C4" w:rsidRDefault="00E749C4" w:rsidP="00E749C4">
            <w:pPr>
              <w:spacing w:after="3" w:line="265" w:lineRule="auto"/>
              <w:ind w:left="348"/>
            </w:pPr>
            <w:r>
              <w:rPr>
                <w:b/>
                <w:sz w:val="22"/>
              </w:rPr>
              <w:t>UNIVERSIDAD DEL SALVADOR</w:t>
            </w:r>
          </w:p>
          <w:p w:rsidR="00E749C4" w:rsidRDefault="00E749C4" w:rsidP="00E749C4">
            <w:pPr>
              <w:spacing w:after="0" w:line="259" w:lineRule="auto"/>
              <w:rPr>
                <w:b/>
                <w:i/>
                <w:sz w:val="22"/>
              </w:rPr>
            </w:pPr>
            <w:r>
              <w:rPr>
                <w:b/>
                <w:i/>
                <w:sz w:val="22"/>
              </w:rPr>
              <w:t xml:space="preserve">  </w:t>
            </w:r>
            <w:r>
              <w:rPr>
                <w:b/>
                <w:i/>
                <w:sz w:val="22"/>
              </w:rPr>
              <w:t>Facultad de Ciencias Sociales, Educación</w:t>
            </w:r>
          </w:p>
          <w:p w:rsidR="00E749C4" w:rsidRDefault="00E749C4" w:rsidP="00E749C4">
            <w:pPr>
              <w:spacing w:after="0" w:line="259" w:lineRule="auto"/>
            </w:pPr>
            <w:r>
              <w:rPr>
                <w:b/>
                <w:i/>
                <w:sz w:val="22"/>
              </w:rPr>
              <w:t xml:space="preserve">                     </w:t>
            </w:r>
            <w:r>
              <w:rPr>
                <w:b/>
                <w:i/>
                <w:sz w:val="22"/>
              </w:rPr>
              <w:t>y Comunicación</w:t>
            </w:r>
          </w:p>
          <w:p w:rsidR="00E749C4" w:rsidRDefault="00E749C4">
            <w:pPr>
              <w:spacing w:after="0" w:line="259" w:lineRule="auto"/>
              <w:ind w:left="0" w:firstLine="0"/>
              <w:jc w:val="left"/>
            </w:pPr>
          </w:p>
        </w:tc>
        <w:tc>
          <w:tcPr>
            <w:tcW w:w="4814" w:type="dxa"/>
          </w:tcPr>
          <w:p w:rsidR="00E749C4" w:rsidRDefault="00E749C4" w:rsidP="00E749C4">
            <w:pPr>
              <w:spacing w:after="3" w:line="265" w:lineRule="auto"/>
              <w:ind w:left="0" w:firstLine="0"/>
              <w:jc w:val="right"/>
              <w:rPr>
                <w:b/>
                <w:i/>
                <w:sz w:val="22"/>
              </w:rPr>
            </w:pPr>
          </w:p>
          <w:p w:rsidR="00E749C4" w:rsidRDefault="00E749C4" w:rsidP="00E749C4">
            <w:pPr>
              <w:spacing w:after="3" w:line="265" w:lineRule="auto"/>
              <w:ind w:left="0" w:firstLine="0"/>
              <w:jc w:val="right"/>
              <w:rPr>
                <w:b/>
                <w:i/>
                <w:sz w:val="22"/>
              </w:rPr>
            </w:pPr>
          </w:p>
          <w:p w:rsidR="00E749C4" w:rsidRDefault="00E749C4" w:rsidP="00E749C4">
            <w:pPr>
              <w:spacing w:after="3" w:line="265" w:lineRule="auto"/>
              <w:ind w:left="0" w:firstLine="0"/>
              <w:jc w:val="right"/>
              <w:rPr>
                <w:b/>
                <w:i/>
                <w:sz w:val="22"/>
              </w:rPr>
            </w:pPr>
          </w:p>
          <w:p w:rsidR="00E749C4" w:rsidRDefault="00E749C4" w:rsidP="00E749C4">
            <w:pPr>
              <w:spacing w:after="3" w:line="265" w:lineRule="auto"/>
              <w:ind w:left="0" w:firstLine="0"/>
              <w:jc w:val="right"/>
              <w:rPr>
                <w:b/>
                <w:i/>
                <w:sz w:val="22"/>
              </w:rPr>
            </w:pPr>
          </w:p>
          <w:p w:rsidR="00E749C4" w:rsidRDefault="00E749C4" w:rsidP="00E749C4">
            <w:pPr>
              <w:spacing w:after="3" w:line="265" w:lineRule="auto"/>
              <w:ind w:left="0" w:firstLine="0"/>
              <w:jc w:val="right"/>
              <w:rPr>
                <w:b/>
                <w:i/>
                <w:sz w:val="22"/>
              </w:rPr>
            </w:pPr>
          </w:p>
          <w:p w:rsidR="00E749C4" w:rsidRDefault="00E749C4" w:rsidP="00E749C4">
            <w:pPr>
              <w:spacing w:after="3" w:line="265" w:lineRule="auto"/>
              <w:ind w:left="0" w:firstLine="0"/>
              <w:jc w:val="right"/>
              <w:rPr>
                <w:b/>
                <w:i/>
                <w:sz w:val="22"/>
              </w:rPr>
            </w:pPr>
          </w:p>
          <w:p w:rsidR="00E749C4" w:rsidRPr="00E749C4" w:rsidRDefault="00E749C4" w:rsidP="00E749C4">
            <w:pPr>
              <w:spacing w:after="3" w:line="265" w:lineRule="auto"/>
              <w:ind w:left="0" w:firstLine="0"/>
              <w:jc w:val="right"/>
              <w:rPr>
                <w:i/>
              </w:rPr>
            </w:pPr>
            <w:r>
              <w:rPr>
                <w:b/>
                <w:i/>
                <w:sz w:val="22"/>
              </w:rPr>
              <w:t>Licenciatura</w:t>
            </w:r>
            <w:r w:rsidRPr="00E749C4">
              <w:rPr>
                <w:b/>
                <w:i/>
                <w:sz w:val="22"/>
              </w:rPr>
              <w:t xml:space="preserve">. en Relaciones Internacionales </w:t>
            </w:r>
          </w:p>
          <w:p w:rsidR="00E749C4" w:rsidRDefault="00E749C4">
            <w:pPr>
              <w:spacing w:after="0" w:line="259" w:lineRule="auto"/>
              <w:ind w:left="0" w:firstLine="0"/>
              <w:jc w:val="left"/>
            </w:pPr>
          </w:p>
        </w:tc>
      </w:tr>
    </w:tbl>
    <w:p w:rsidR="00203371" w:rsidRDefault="00203371">
      <w:pPr>
        <w:spacing w:after="0" w:line="259" w:lineRule="auto"/>
        <w:ind w:left="0" w:firstLine="0"/>
        <w:jc w:val="left"/>
      </w:pPr>
    </w:p>
    <w:p w:rsidR="00203371" w:rsidRDefault="00203371">
      <w:pPr>
        <w:spacing w:after="572" w:line="259" w:lineRule="auto"/>
        <w:ind w:left="1988" w:firstLine="0"/>
        <w:jc w:val="left"/>
      </w:pPr>
    </w:p>
    <w:p w:rsidR="00203371" w:rsidRDefault="00203371">
      <w:pPr>
        <w:spacing w:after="0" w:line="259" w:lineRule="auto"/>
        <w:ind w:left="0" w:firstLine="0"/>
        <w:jc w:val="left"/>
      </w:pPr>
    </w:p>
    <w:p w:rsidR="00203371" w:rsidRDefault="00E749C4">
      <w:pPr>
        <w:spacing w:after="0" w:line="259" w:lineRule="auto"/>
        <w:ind w:left="0" w:firstLine="0"/>
        <w:jc w:val="left"/>
      </w:pPr>
      <w:r>
        <w:rPr>
          <w:sz w:val="22"/>
        </w:rPr>
        <w:t xml:space="preserve"> </w:t>
      </w:r>
    </w:p>
    <w:p w:rsidR="00203371" w:rsidRDefault="00E749C4">
      <w:pPr>
        <w:spacing w:after="0" w:line="259" w:lineRule="auto"/>
        <w:ind w:left="0" w:firstLine="0"/>
        <w:jc w:val="center"/>
      </w:pPr>
      <w:r>
        <w:rPr>
          <w:b/>
          <w:sz w:val="22"/>
        </w:rPr>
        <w:t>PROGRAMA 2026</w:t>
      </w:r>
      <w:bookmarkStart w:id="0" w:name="_GoBack"/>
      <w:bookmarkEnd w:id="0"/>
    </w:p>
    <w:p w:rsidR="00203371" w:rsidRDefault="00E749C4">
      <w:pPr>
        <w:spacing w:after="0" w:line="259" w:lineRule="auto"/>
        <w:ind w:left="0" w:firstLine="0"/>
        <w:jc w:val="left"/>
      </w:pPr>
      <w:r>
        <w:rPr>
          <w:sz w:val="22"/>
        </w:rPr>
        <w:t xml:space="preserve"> </w:t>
      </w:r>
    </w:p>
    <w:tbl>
      <w:tblPr>
        <w:tblStyle w:val="TableGrid"/>
        <w:tblW w:w="9800" w:type="dxa"/>
        <w:tblInd w:w="-4" w:type="dxa"/>
        <w:tblCellMar>
          <w:top w:w="161" w:type="dxa"/>
          <w:left w:w="70" w:type="dxa"/>
          <w:bottom w:w="0" w:type="dxa"/>
          <w:right w:w="33" w:type="dxa"/>
        </w:tblCellMar>
        <w:tblLook w:val="04A0" w:firstRow="1" w:lastRow="0" w:firstColumn="1" w:lastColumn="0" w:noHBand="0" w:noVBand="1"/>
      </w:tblPr>
      <w:tblGrid>
        <w:gridCol w:w="920"/>
        <w:gridCol w:w="1120"/>
        <w:gridCol w:w="200"/>
        <w:gridCol w:w="202"/>
        <w:gridCol w:w="537"/>
        <w:gridCol w:w="360"/>
        <w:gridCol w:w="221"/>
        <w:gridCol w:w="742"/>
        <w:gridCol w:w="518"/>
        <w:gridCol w:w="1380"/>
        <w:gridCol w:w="1342"/>
        <w:gridCol w:w="2258"/>
      </w:tblGrid>
      <w:tr w:rsidR="00203371">
        <w:trPr>
          <w:trHeight w:val="461"/>
        </w:trPr>
        <w:tc>
          <w:tcPr>
            <w:tcW w:w="3339" w:type="dxa"/>
            <w:gridSpan w:val="6"/>
            <w:tcBorders>
              <w:top w:val="single" w:sz="8" w:space="0" w:color="000000"/>
              <w:left w:val="single" w:sz="8" w:space="0" w:color="000000"/>
              <w:bottom w:val="single" w:sz="8" w:space="0" w:color="000000"/>
              <w:right w:val="single" w:sz="8" w:space="0" w:color="000000"/>
            </w:tcBorders>
            <w:shd w:val="clear" w:color="auto" w:fill="E0E0E0"/>
            <w:vAlign w:val="center"/>
          </w:tcPr>
          <w:p w:rsidR="00203371" w:rsidRDefault="00E749C4">
            <w:pPr>
              <w:spacing w:after="0" w:line="259" w:lineRule="auto"/>
              <w:ind w:left="9" w:firstLine="0"/>
              <w:jc w:val="left"/>
            </w:pPr>
            <w:r>
              <w:rPr>
                <w:b/>
                <w:sz w:val="22"/>
              </w:rPr>
              <w:t xml:space="preserve">ACTIVIDAD CURRICULAR: </w:t>
            </w:r>
          </w:p>
        </w:tc>
        <w:tc>
          <w:tcPr>
            <w:tcW w:w="2861" w:type="dxa"/>
            <w:gridSpan w:val="4"/>
            <w:tcBorders>
              <w:top w:val="single" w:sz="8" w:space="0" w:color="000000"/>
              <w:left w:val="single" w:sz="8" w:space="0" w:color="000000"/>
              <w:bottom w:val="single" w:sz="8" w:space="0" w:color="000000"/>
              <w:right w:val="nil"/>
            </w:tcBorders>
            <w:vAlign w:val="center"/>
          </w:tcPr>
          <w:p w:rsidR="00203371" w:rsidRDefault="00E749C4">
            <w:pPr>
              <w:spacing w:after="0" w:line="259" w:lineRule="auto"/>
              <w:ind w:left="0" w:firstLine="0"/>
              <w:jc w:val="left"/>
            </w:pPr>
            <w:r>
              <w:rPr>
                <w:sz w:val="22"/>
              </w:rPr>
              <w:t xml:space="preserve">SEMINARIO </w:t>
            </w:r>
          </w:p>
        </w:tc>
        <w:tc>
          <w:tcPr>
            <w:tcW w:w="1342" w:type="dxa"/>
            <w:tcBorders>
              <w:top w:val="single" w:sz="8" w:space="0" w:color="000000"/>
              <w:left w:val="nil"/>
              <w:bottom w:val="single" w:sz="8" w:space="0" w:color="000000"/>
              <w:right w:val="nil"/>
            </w:tcBorders>
          </w:tcPr>
          <w:p w:rsidR="00203371" w:rsidRDefault="00203371">
            <w:pPr>
              <w:spacing w:after="160" w:line="259" w:lineRule="auto"/>
              <w:ind w:left="0" w:firstLine="0"/>
              <w:jc w:val="left"/>
            </w:pPr>
          </w:p>
        </w:tc>
        <w:tc>
          <w:tcPr>
            <w:tcW w:w="2258" w:type="dxa"/>
            <w:tcBorders>
              <w:top w:val="single" w:sz="8" w:space="0" w:color="000000"/>
              <w:left w:val="nil"/>
              <w:bottom w:val="single" w:sz="8" w:space="0" w:color="000000"/>
              <w:right w:val="single" w:sz="8" w:space="0" w:color="000000"/>
            </w:tcBorders>
          </w:tcPr>
          <w:p w:rsidR="00203371" w:rsidRDefault="00203371">
            <w:pPr>
              <w:spacing w:after="160" w:line="259" w:lineRule="auto"/>
              <w:ind w:left="0" w:firstLine="0"/>
              <w:jc w:val="left"/>
            </w:pPr>
          </w:p>
        </w:tc>
      </w:tr>
      <w:tr w:rsidR="00203371">
        <w:trPr>
          <w:trHeight w:val="460"/>
        </w:trPr>
        <w:tc>
          <w:tcPr>
            <w:tcW w:w="2040" w:type="dxa"/>
            <w:gridSpan w:val="2"/>
            <w:tcBorders>
              <w:top w:val="single" w:sz="8" w:space="0" w:color="000000"/>
              <w:left w:val="single" w:sz="8" w:space="0" w:color="000000"/>
              <w:bottom w:val="single" w:sz="8" w:space="0" w:color="000000"/>
              <w:right w:val="single" w:sz="8" w:space="0" w:color="000000"/>
            </w:tcBorders>
            <w:shd w:val="clear" w:color="auto" w:fill="E0E0E0"/>
          </w:tcPr>
          <w:p w:rsidR="00203371" w:rsidRDefault="00E749C4">
            <w:pPr>
              <w:spacing w:after="0" w:line="259" w:lineRule="auto"/>
              <w:ind w:left="9" w:firstLine="0"/>
              <w:jc w:val="left"/>
            </w:pPr>
            <w:r>
              <w:rPr>
                <w:b/>
                <w:sz w:val="22"/>
              </w:rPr>
              <w:t xml:space="preserve">CÁTEDRA:   </w:t>
            </w:r>
          </w:p>
        </w:tc>
        <w:tc>
          <w:tcPr>
            <w:tcW w:w="4160" w:type="dxa"/>
            <w:gridSpan w:val="8"/>
            <w:tcBorders>
              <w:top w:val="single" w:sz="8" w:space="0" w:color="000000"/>
              <w:left w:val="single" w:sz="8" w:space="0" w:color="000000"/>
              <w:bottom w:val="single" w:sz="8" w:space="0" w:color="000000"/>
              <w:right w:val="nil"/>
            </w:tcBorders>
          </w:tcPr>
          <w:p w:rsidR="00203371" w:rsidRDefault="00E749C4">
            <w:pPr>
              <w:spacing w:after="0" w:line="259" w:lineRule="auto"/>
              <w:ind w:left="9" w:firstLine="0"/>
              <w:jc w:val="left"/>
            </w:pPr>
            <w:r>
              <w:rPr>
                <w:sz w:val="22"/>
              </w:rPr>
              <w:t xml:space="preserve">MEDIO ORIENTE CONTEMPORÁNEO </w:t>
            </w:r>
          </w:p>
        </w:tc>
        <w:tc>
          <w:tcPr>
            <w:tcW w:w="1342" w:type="dxa"/>
            <w:tcBorders>
              <w:top w:val="single" w:sz="8" w:space="0" w:color="000000"/>
              <w:left w:val="nil"/>
              <w:bottom w:val="single" w:sz="8" w:space="0" w:color="000000"/>
              <w:right w:val="nil"/>
            </w:tcBorders>
          </w:tcPr>
          <w:p w:rsidR="00203371" w:rsidRDefault="00203371">
            <w:pPr>
              <w:spacing w:after="160" w:line="259" w:lineRule="auto"/>
              <w:ind w:left="0" w:firstLine="0"/>
              <w:jc w:val="left"/>
            </w:pPr>
          </w:p>
        </w:tc>
        <w:tc>
          <w:tcPr>
            <w:tcW w:w="2258" w:type="dxa"/>
            <w:tcBorders>
              <w:top w:val="single" w:sz="8" w:space="0" w:color="000000"/>
              <w:left w:val="nil"/>
              <w:bottom w:val="single" w:sz="8" w:space="0" w:color="000000"/>
              <w:right w:val="single" w:sz="8" w:space="0" w:color="000000"/>
            </w:tcBorders>
          </w:tcPr>
          <w:p w:rsidR="00203371" w:rsidRDefault="00203371">
            <w:pPr>
              <w:spacing w:after="160" w:line="259" w:lineRule="auto"/>
              <w:ind w:left="0" w:firstLine="0"/>
              <w:jc w:val="left"/>
            </w:pPr>
          </w:p>
        </w:tc>
      </w:tr>
      <w:tr w:rsidR="00203371">
        <w:trPr>
          <w:trHeight w:val="462"/>
        </w:trPr>
        <w:tc>
          <w:tcPr>
            <w:tcW w:w="2442" w:type="dxa"/>
            <w:gridSpan w:val="4"/>
            <w:tcBorders>
              <w:top w:val="single" w:sz="8" w:space="0" w:color="000000"/>
              <w:left w:val="single" w:sz="8" w:space="0" w:color="000000"/>
              <w:bottom w:val="single" w:sz="8" w:space="0" w:color="000000"/>
              <w:right w:val="single" w:sz="8" w:space="0" w:color="000000"/>
            </w:tcBorders>
            <w:shd w:val="clear" w:color="auto" w:fill="E0E0E0"/>
          </w:tcPr>
          <w:p w:rsidR="00203371" w:rsidRDefault="00E749C4">
            <w:pPr>
              <w:spacing w:after="0" w:line="259" w:lineRule="auto"/>
              <w:ind w:left="9" w:firstLine="0"/>
              <w:jc w:val="left"/>
            </w:pPr>
            <w:r>
              <w:rPr>
                <w:b/>
                <w:sz w:val="22"/>
              </w:rPr>
              <w:t xml:space="preserve">TOTAL DE HS/SEM.: </w:t>
            </w:r>
          </w:p>
        </w:tc>
        <w:tc>
          <w:tcPr>
            <w:tcW w:w="1118" w:type="dxa"/>
            <w:gridSpan w:val="3"/>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 w:firstLine="0"/>
              <w:jc w:val="left"/>
            </w:pPr>
            <w:r>
              <w:rPr>
                <w:sz w:val="22"/>
              </w:rPr>
              <w:t xml:space="preserve">3 </w:t>
            </w:r>
          </w:p>
        </w:tc>
        <w:tc>
          <w:tcPr>
            <w:tcW w:w="1260" w:type="dxa"/>
            <w:gridSpan w:val="2"/>
            <w:tcBorders>
              <w:top w:val="single" w:sz="8" w:space="0" w:color="000000"/>
              <w:left w:val="single" w:sz="8" w:space="0" w:color="000000"/>
              <w:bottom w:val="single" w:sz="8" w:space="0" w:color="000000"/>
              <w:right w:val="single" w:sz="8" w:space="0" w:color="000000"/>
            </w:tcBorders>
            <w:shd w:val="clear" w:color="auto" w:fill="E6E6E6"/>
          </w:tcPr>
          <w:p w:rsidR="00203371" w:rsidRDefault="00E749C4">
            <w:pPr>
              <w:spacing w:after="0" w:line="259" w:lineRule="auto"/>
              <w:ind w:left="4" w:firstLine="0"/>
            </w:pPr>
            <w:r>
              <w:rPr>
                <w:b/>
                <w:sz w:val="22"/>
              </w:rPr>
              <w:t>TOTAL HS</w:t>
            </w:r>
            <w:r>
              <w:rPr>
                <w:sz w:val="22"/>
              </w:rPr>
              <w:t xml:space="preserve"> </w:t>
            </w:r>
          </w:p>
        </w:tc>
        <w:tc>
          <w:tcPr>
            <w:tcW w:w="13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 w:firstLine="0"/>
              <w:jc w:val="left"/>
            </w:pPr>
            <w:r>
              <w:rPr>
                <w:sz w:val="22"/>
              </w:rPr>
              <w:t xml:space="preserve">54 </w:t>
            </w:r>
          </w:p>
        </w:tc>
        <w:tc>
          <w:tcPr>
            <w:tcW w:w="1342" w:type="dxa"/>
            <w:tcBorders>
              <w:top w:val="single" w:sz="8" w:space="0" w:color="000000"/>
              <w:left w:val="single" w:sz="8" w:space="0" w:color="000000"/>
              <w:bottom w:val="single" w:sz="8" w:space="0" w:color="000000"/>
              <w:right w:val="nil"/>
            </w:tcBorders>
            <w:vAlign w:val="bottom"/>
          </w:tcPr>
          <w:p w:rsidR="00203371" w:rsidRDefault="00203371">
            <w:pPr>
              <w:spacing w:after="160" w:line="259" w:lineRule="auto"/>
              <w:ind w:left="0" w:firstLine="0"/>
              <w:jc w:val="left"/>
            </w:pPr>
          </w:p>
        </w:tc>
        <w:tc>
          <w:tcPr>
            <w:tcW w:w="2258" w:type="dxa"/>
            <w:tcBorders>
              <w:top w:val="single" w:sz="8" w:space="0" w:color="000000"/>
              <w:left w:val="nil"/>
              <w:bottom w:val="single" w:sz="8" w:space="0" w:color="000000"/>
              <w:right w:val="nil"/>
            </w:tcBorders>
          </w:tcPr>
          <w:p w:rsidR="00203371" w:rsidRDefault="00203371">
            <w:pPr>
              <w:spacing w:after="160" w:line="259" w:lineRule="auto"/>
              <w:ind w:left="0" w:firstLine="0"/>
              <w:jc w:val="left"/>
            </w:pPr>
          </w:p>
        </w:tc>
      </w:tr>
      <w:tr w:rsidR="00203371">
        <w:trPr>
          <w:trHeight w:val="478"/>
        </w:trPr>
        <w:tc>
          <w:tcPr>
            <w:tcW w:w="920" w:type="dxa"/>
            <w:tcBorders>
              <w:top w:val="single" w:sz="8" w:space="0" w:color="000000"/>
              <w:left w:val="single" w:sz="8" w:space="0" w:color="000000"/>
              <w:bottom w:val="single" w:sz="8" w:space="0" w:color="000000"/>
              <w:right w:val="single" w:sz="8" w:space="0" w:color="000000"/>
            </w:tcBorders>
            <w:shd w:val="clear" w:color="auto" w:fill="E0E0E0"/>
            <w:vAlign w:val="center"/>
          </w:tcPr>
          <w:p w:rsidR="00203371" w:rsidRDefault="00E749C4">
            <w:pPr>
              <w:spacing w:after="0" w:line="259" w:lineRule="auto"/>
              <w:ind w:left="9" w:firstLine="0"/>
              <w:jc w:val="left"/>
            </w:pPr>
            <w:r>
              <w:rPr>
                <w:b/>
                <w:sz w:val="22"/>
              </w:rPr>
              <w:t xml:space="preserve">SEDE: </w:t>
            </w:r>
          </w:p>
        </w:tc>
        <w:tc>
          <w:tcPr>
            <w:tcW w:w="2059" w:type="dxa"/>
            <w:gridSpan w:val="4"/>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4" w:firstLine="0"/>
              <w:jc w:val="left"/>
            </w:pPr>
            <w:r>
              <w:rPr>
                <w:sz w:val="22"/>
              </w:rPr>
              <w:t xml:space="preserve">CENTRO/PILAR </w:t>
            </w:r>
          </w:p>
        </w:tc>
        <w:tc>
          <w:tcPr>
            <w:tcW w:w="1323" w:type="dxa"/>
            <w:gridSpan w:val="3"/>
            <w:tcBorders>
              <w:top w:val="single" w:sz="8" w:space="0" w:color="000000"/>
              <w:left w:val="single" w:sz="8" w:space="0" w:color="000000"/>
              <w:bottom w:val="single" w:sz="8" w:space="0" w:color="000000"/>
              <w:right w:val="single" w:sz="8" w:space="0" w:color="000000"/>
            </w:tcBorders>
            <w:shd w:val="clear" w:color="auto" w:fill="E0E0E0"/>
            <w:vAlign w:val="center"/>
          </w:tcPr>
          <w:p w:rsidR="00203371" w:rsidRDefault="00E749C4">
            <w:pPr>
              <w:spacing w:after="0" w:line="259" w:lineRule="auto"/>
              <w:ind w:left="0" w:firstLine="0"/>
              <w:jc w:val="left"/>
            </w:pPr>
            <w:r>
              <w:rPr>
                <w:b/>
                <w:sz w:val="22"/>
              </w:rPr>
              <w:t xml:space="preserve">CURSO: </w:t>
            </w:r>
          </w:p>
        </w:tc>
        <w:tc>
          <w:tcPr>
            <w:tcW w:w="1898" w:type="dxa"/>
            <w:gridSpan w:val="2"/>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13" w:firstLine="0"/>
              <w:jc w:val="left"/>
            </w:pPr>
            <w:r>
              <w:rPr>
                <w:sz w:val="22"/>
              </w:rPr>
              <w:t xml:space="preserve">- </w:t>
            </w:r>
          </w:p>
        </w:tc>
        <w:tc>
          <w:tcPr>
            <w:tcW w:w="1342" w:type="dxa"/>
            <w:tcBorders>
              <w:top w:val="single" w:sz="8" w:space="0" w:color="000000"/>
              <w:left w:val="single" w:sz="8" w:space="0" w:color="000000"/>
              <w:bottom w:val="single" w:sz="8" w:space="0" w:color="000000"/>
              <w:right w:val="single" w:sz="8" w:space="0" w:color="000000"/>
            </w:tcBorders>
            <w:shd w:val="clear" w:color="auto" w:fill="E0E0E0"/>
            <w:vAlign w:val="center"/>
          </w:tcPr>
          <w:p w:rsidR="00203371" w:rsidRDefault="00E749C4">
            <w:pPr>
              <w:spacing w:after="0" w:line="259" w:lineRule="auto"/>
              <w:ind w:left="4" w:firstLine="0"/>
              <w:jc w:val="left"/>
            </w:pPr>
            <w:r>
              <w:rPr>
                <w:b/>
                <w:sz w:val="22"/>
              </w:rPr>
              <w:t xml:space="preserve">TURNO:   </w:t>
            </w:r>
          </w:p>
        </w:tc>
        <w:tc>
          <w:tcPr>
            <w:tcW w:w="2258"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12" w:firstLine="0"/>
              <w:jc w:val="left"/>
            </w:pPr>
            <w:r>
              <w:rPr>
                <w:sz w:val="22"/>
              </w:rPr>
              <w:t xml:space="preserve">NOCHE </w:t>
            </w:r>
          </w:p>
        </w:tc>
      </w:tr>
      <w:tr w:rsidR="00203371">
        <w:trPr>
          <w:trHeight w:val="461"/>
        </w:trPr>
        <w:tc>
          <w:tcPr>
            <w:tcW w:w="2240" w:type="dxa"/>
            <w:gridSpan w:val="3"/>
            <w:tcBorders>
              <w:top w:val="single" w:sz="8" w:space="0" w:color="000000"/>
              <w:left w:val="single" w:sz="8" w:space="0" w:color="000000"/>
              <w:bottom w:val="single" w:sz="8" w:space="0" w:color="000000"/>
              <w:right w:val="single" w:sz="8" w:space="0" w:color="000000"/>
            </w:tcBorders>
            <w:shd w:val="clear" w:color="auto" w:fill="E0E0E0"/>
            <w:vAlign w:val="center"/>
          </w:tcPr>
          <w:p w:rsidR="00203371" w:rsidRDefault="00E749C4">
            <w:pPr>
              <w:spacing w:after="0" w:line="259" w:lineRule="auto"/>
              <w:ind w:left="9" w:firstLine="0"/>
            </w:pPr>
            <w:r>
              <w:rPr>
                <w:b/>
                <w:sz w:val="22"/>
              </w:rPr>
              <w:t xml:space="preserve">AÑO ACADÉMICO: </w:t>
            </w:r>
          </w:p>
        </w:tc>
        <w:tc>
          <w:tcPr>
            <w:tcW w:w="3960" w:type="dxa"/>
            <w:gridSpan w:val="7"/>
            <w:tcBorders>
              <w:top w:val="single" w:sz="8" w:space="0" w:color="000000"/>
              <w:left w:val="single" w:sz="8" w:space="0" w:color="000000"/>
              <w:bottom w:val="single" w:sz="8" w:space="0" w:color="000000"/>
              <w:right w:val="nil"/>
            </w:tcBorders>
            <w:vAlign w:val="center"/>
          </w:tcPr>
          <w:p w:rsidR="00203371" w:rsidRDefault="00E749C4">
            <w:pPr>
              <w:spacing w:after="0" w:line="259" w:lineRule="auto"/>
              <w:ind w:left="4" w:firstLine="0"/>
              <w:jc w:val="left"/>
            </w:pPr>
            <w:r>
              <w:rPr>
                <w:sz w:val="22"/>
              </w:rPr>
              <w:t xml:space="preserve">2026 </w:t>
            </w:r>
          </w:p>
        </w:tc>
        <w:tc>
          <w:tcPr>
            <w:tcW w:w="1342" w:type="dxa"/>
            <w:tcBorders>
              <w:top w:val="single" w:sz="8" w:space="0" w:color="000000"/>
              <w:left w:val="nil"/>
              <w:bottom w:val="single" w:sz="8" w:space="0" w:color="000000"/>
              <w:right w:val="nil"/>
            </w:tcBorders>
          </w:tcPr>
          <w:p w:rsidR="00203371" w:rsidRDefault="00203371">
            <w:pPr>
              <w:spacing w:after="160" w:line="259" w:lineRule="auto"/>
              <w:ind w:left="0" w:firstLine="0"/>
              <w:jc w:val="left"/>
            </w:pPr>
          </w:p>
        </w:tc>
        <w:tc>
          <w:tcPr>
            <w:tcW w:w="2258" w:type="dxa"/>
            <w:tcBorders>
              <w:top w:val="single" w:sz="8" w:space="0" w:color="000000"/>
              <w:left w:val="nil"/>
              <w:bottom w:val="single" w:sz="8" w:space="0" w:color="000000"/>
              <w:right w:val="single" w:sz="8" w:space="0" w:color="000000"/>
            </w:tcBorders>
          </w:tcPr>
          <w:p w:rsidR="00203371" w:rsidRDefault="00203371">
            <w:pPr>
              <w:spacing w:after="160" w:line="259" w:lineRule="auto"/>
              <w:ind w:left="0" w:firstLine="0"/>
              <w:jc w:val="left"/>
            </w:pPr>
          </w:p>
        </w:tc>
      </w:tr>
      <w:tr w:rsidR="00203371">
        <w:trPr>
          <w:trHeight w:val="460"/>
        </w:trPr>
        <w:tc>
          <w:tcPr>
            <w:tcW w:w="920" w:type="dxa"/>
            <w:tcBorders>
              <w:top w:val="single" w:sz="8" w:space="0" w:color="000000"/>
              <w:left w:val="single" w:sz="8" w:space="0" w:color="000000"/>
              <w:bottom w:val="single" w:sz="8" w:space="0" w:color="000000"/>
              <w:right w:val="single" w:sz="8" w:space="0" w:color="000000"/>
            </w:tcBorders>
            <w:shd w:val="clear" w:color="auto" w:fill="E0E0E0"/>
          </w:tcPr>
          <w:p w:rsidR="00203371" w:rsidRDefault="00E749C4">
            <w:pPr>
              <w:spacing w:after="0" w:line="259" w:lineRule="auto"/>
              <w:ind w:left="9" w:firstLine="0"/>
              <w:jc w:val="left"/>
            </w:pPr>
            <w:r>
              <w:rPr>
                <w:b/>
                <w:sz w:val="22"/>
              </w:rPr>
              <w:t xml:space="preserve">URL: </w:t>
            </w:r>
          </w:p>
        </w:tc>
        <w:tc>
          <w:tcPr>
            <w:tcW w:w="5280" w:type="dxa"/>
            <w:gridSpan w:val="9"/>
            <w:tcBorders>
              <w:top w:val="single" w:sz="8" w:space="0" w:color="000000"/>
              <w:left w:val="single" w:sz="8" w:space="0" w:color="000000"/>
              <w:bottom w:val="single" w:sz="8" w:space="0" w:color="000000"/>
              <w:right w:val="nil"/>
            </w:tcBorders>
          </w:tcPr>
          <w:p w:rsidR="00203371" w:rsidRDefault="00E749C4">
            <w:pPr>
              <w:spacing w:after="0" w:line="259" w:lineRule="auto"/>
              <w:ind w:left="4" w:firstLine="0"/>
              <w:jc w:val="left"/>
            </w:pPr>
            <w:r>
              <w:rPr>
                <w:sz w:val="22"/>
              </w:rPr>
              <w:t xml:space="preserve"> </w:t>
            </w:r>
          </w:p>
        </w:tc>
        <w:tc>
          <w:tcPr>
            <w:tcW w:w="1342" w:type="dxa"/>
            <w:tcBorders>
              <w:top w:val="single" w:sz="8" w:space="0" w:color="000000"/>
              <w:left w:val="nil"/>
              <w:bottom w:val="single" w:sz="8" w:space="0" w:color="000000"/>
              <w:right w:val="nil"/>
            </w:tcBorders>
          </w:tcPr>
          <w:p w:rsidR="00203371" w:rsidRDefault="00203371">
            <w:pPr>
              <w:spacing w:after="160" w:line="259" w:lineRule="auto"/>
              <w:ind w:left="0" w:firstLine="0"/>
              <w:jc w:val="left"/>
            </w:pPr>
          </w:p>
        </w:tc>
        <w:tc>
          <w:tcPr>
            <w:tcW w:w="2258" w:type="dxa"/>
            <w:tcBorders>
              <w:top w:val="single" w:sz="8" w:space="0" w:color="000000"/>
              <w:left w:val="nil"/>
              <w:bottom w:val="single" w:sz="8" w:space="0" w:color="000000"/>
              <w:right w:val="single" w:sz="8" w:space="0" w:color="000000"/>
            </w:tcBorders>
          </w:tcPr>
          <w:p w:rsidR="00203371" w:rsidRDefault="00203371">
            <w:pPr>
              <w:spacing w:after="160" w:line="259" w:lineRule="auto"/>
              <w:ind w:left="0" w:firstLine="0"/>
              <w:jc w:val="left"/>
            </w:pPr>
          </w:p>
        </w:tc>
      </w:tr>
    </w:tbl>
    <w:p w:rsidR="00203371" w:rsidRDefault="00E749C4">
      <w:pPr>
        <w:spacing w:after="0" w:line="259" w:lineRule="auto"/>
        <w:ind w:left="0" w:firstLine="0"/>
        <w:jc w:val="left"/>
      </w:pPr>
      <w:r>
        <w:rPr>
          <w:b/>
          <w:sz w:val="22"/>
        </w:rPr>
        <w:t xml:space="preserve"> </w:t>
      </w:r>
    </w:p>
    <w:p w:rsidR="00203371" w:rsidRDefault="00E749C4">
      <w:pPr>
        <w:spacing w:after="0" w:line="259" w:lineRule="auto"/>
        <w:ind w:left="0" w:firstLine="0"/>
        <w:jc w:val="left"/>
      </w:pPr>
      <w:r>
        <w:rPr>
          <w:b/>
          <w:sz w:val="22"/>
        </w:rPr>
        <w:t xml:space="preserve"> </w:t>
      </w:r>
    </w:p>
    <w:tbl>
      <w:tblPr>
        <w:tblStyle w:val="TableGrid"/>
        <w:tblpPr w:vertAnchor="text" w:tblpX="2436" w:tblpY="79"/>
        <w:tblOverlap w:val="never"/>
        <w:tblW w:w="4781" w:type="dxa"/>
        <w:tblInd w:w="0" w:type="dxa"/>
        <w:tblCellMar>
          <w:top w:w="169" w:type="dxa"/>
          <w:left w:w="162" w:type="dxa"/>
          <w:bottom w:w="0" w:type="dxa"/>
          <w:right w:w="113" w:type="dxa"/>
        </w:tblCellMar>
        <w:tblLook w:val="04A0" w:firstRow="1" w:lastRow="0" w:firstColumn="1" w:lastColumn="0" w:noHBand="0" w:noVBand="1"/>
      </w:tblPr>
      <w:tblGrid>
        <w:gridCol w:w="941"/>
        <w:gridCol w:w="580"/>
        <w:gridCol w:w="2720"/>
        <w:gridCol w:w="540"/>
      </w:tblGrid>
      <w:tr w:rsidR="00203371">
        <w:trPr>
          <w:trHeight w:val="460"/>
        </w:trPr>
        <w:tc>
          <w:tcPr>
            <w:tcW w:w="941" w:type="dxa"/>
            <w:tcBorders>
              <w:top w:val="single" w:sz="8" w:space="0" w:color="000000"/>
              <w:left w:val="single" w:sz="8" w:space="0" w:color="000000"/>
              <w:bottom w:val="single" w:sz="8" w:space="0" w:color="000000"/>
              <w:right w:val="single" w:sz="8" w:space="0" w:color="000000"/>
            </w:tcBorders>
            <w:shd w:val="clear" w:color="auto" w:fill="E6E6E6"/>
          </w:tcPr>
          <w:p w:rsidR="00203371" w:rsidRDefault="00E749C4">
            <w:pPr>
              <w:spacing w:after="0" w:line="259" w:lineRule="auto"/>
              <w:ind w:left="0" w:firstLine="0"/>
              <w:jc w:val="left"/>
            </w:pPr>
            <w:r>
              <w:rPr>
                <w:b/>
                <w:sz w:val="22"/>
              </w:rPr>
              <w:t xml:space="preserve">Básico </w:t>
            </w:r>
          </w:p>
        </w:tc>
        <w:tc>
          <w:tcPr>
            <w:tcW w:w="5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firstLine="0"/>
              <w:jc w:val="center"/>
            </w:pPr>
            <w:r>
              <w:rPr>
                <w:b/>
                <w:sz w:val="22"/>
              </w:rPr>
              <w:t xml:space="preserve"> </w:t>
            </w:r>
          </w:p>
        </w:tc>
        <w:tc>
          <w:tcPr>
            <w:tcW w:w="2720" w:type="dxa"/>
            <w:tcBorders>
              <w:top w:val="single" w:sz="8" w:space="0" w:color="000000"/>
              <w:left w:val="single" w:sz="8" w:space="0" w:color="000000"/>
              <w:bottom w:val="single" w:sz="8" w:space="0" w:color="000000"/>
              <w:right w:val="single" w:sz="8" w:space="0" w:color="000000"/>
            </w:tcBorders>
            <w:shd w:val="clear" w:color="auto" w:fill="E6E6E6"/>
          </w:tcPr>
          <w:p w:rsidR="00203371" w:rsidRDefault="00E749C4">
            <w:pPr>
              <w:spacing w:after="0" w:line="259" w:lineRule="auto"/>
              <w:ind w:left="0" w:right="45" w:firstLine="0"/>
              <w:jc w:val="center"/>
            </w:pPr>
            <w:r>
              <w:rPr>
                <w:b/>
                <w:sz w:val="22"/>
              </w:rPr>
              <w:t xml:space="preserve">Superior/Profesional </w:t>
            </w:r>
          </w:p>
        </w:tc>
        <w:tc>
          <w:tcPr>
            <w:tcW w:w="5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28" w:firstLine="0"/>
              <w:jc w:val="left"/>
            </w:pPr>
            <w:r>
              <w:rPr>
                <w:b/>
                <w:sz w:val="22"/>
              </w:rPr>
              <w:t xml:space="preserve">X </w:t>
            </w:r>
          </w:p>
        </w:tc>
      </w:tr>
    </w:tbl>
    <w:p w:rsidR="00203371" w:rsidRDefault="00E749C4">
      <w:pPr>
        <w:spacing w:after="0" w:line="259" w:lineRule="auto"/>
        <w:ind w:left="0" w:right="2422" w:firstLine="0"/>
        <w:jc w:val="left"/>
      </w:pPr>
      <w:r>
        <w:rPr>
          <w:b/>
          <w:sz w:val="22"/>
        </w:rPr>
        <w:t xml:space="preserve"> </w:t>
      </w:r>
    </w:p>
    <w:p w:rsidR="00203371" w:rsidRDefault="00E749C4">
      <w:pPr>
        <w:numPr>
          <w:ilvl w:val="0"/>
          <w:numId w:val="1"/>
        </w:numPr>
        <w:spacing w:after="3" w:line="265" w:lineRule="auto"/>
        <w:ind w:hanging="360"/>
        <w:jc w:val="left"/>
      </w:pPr>
      <w:r>
        <w:rPr>
          <w:b/>
          <w:sz w:val="22"/>
        </w:rPr>
        <w:t xml:space="preserve">CICLO:  </w:t>
      </w:r>
    </w:p>
    <w:p w:rsidR="00203371" w:rsidRDefault="00E749C4">
      <w:pPr>
        <w:spacing w:after="0" w:line="259" w:lineRule="auto"/>
        <w:ind w:left="0" w:right="2422" w:firstLine="0"/>
        <w:jc w:val="left"/>
      </w:pPr>
      <w:r>
        <w:rPr>
          <w:i/>
          <w:sz w:val="22"/>
        </w:rPr>
        <w:t xml:space="preserve"> </w:t>
      </w:r>
    </w:p>
    <w:p w:rsidR="00203371" w:rsidRDefault="00E749C4">
      <w:pPr>
        <w:spacing w:after="5" w:line="249" w:lineRule="auto"/>
        <w:ind w:left="-15" w:firstLine="0"/>
        <w:jc w:val="left"/>
      </w:pPr>
      <w:r>
        <w:rPr>
          <w:i/>
          <w:sz w:val="22"/>
        </w:rPr>
        <w:t xml:space="preserve">(Marque con una cruz el ciclo correspondiente) </w:t>
      </w:r>
    </w:p>
    <w:p w:rsidR="00203371" w:rsidRDefault="00E749C4">
      <w:pPr>
        <w:spacing w:after="0" w:line="259" w:lineRule="auto"/>
        <w:ind w:left="0" w:firstLine="0"/>
        <w:jc w:val="left"/>
      </w:pPr>
      <w:r>
        <w:rPr>
          <w:b/>
          <w:sz w:val="22"/>
        </w:rPr>
        <w:t xml:space="preserve"> </w:t>
      </w:r>
    </w:p>
    <w:p w:rsidR="00203371" w:rsidRDefault="00E749C4">
      <w:pPr>
        <w:spacing w:after="0" w:line="259" w:lineRule="auto"/>
        <w:ind w:left="0" w:firstLine="0"/>
        <w:jc w:val="left"/>
      </w:pPr>
      <w:r>
        <w:rPr>
          <w:b/>
          <w:sz w:val="22"/>
        </w:rPr>
        <w:t xml:space="preserve"> </w:t>
      </w:r>
    </w:p>
    <w:p w:rsidR="00203371" w:rsidRDefault="00E749C4">
      <w:pPr>
        <w:numPr>
          <w:ilvl w:val="0"/>
          <w:numId w:val="1"/>
        </w:numPr>
        <w:spacing w:after="3" w:line="265" w:lineRule="auto"/>
        <w:ind w:hanging="360"/>
        <w:jc w:val="left"/>
      </w:pPr>
      <w:r>
        <w:rPr>
          <w:b/>
          <w:sz w:val="22"/>
        </w:rPr>
        <w:t xml:space="preserve">COMPOSICIÓN DE LA CÁTEDRA: </w:t>
      </w:r>
    </w:p>
    <w:p w:rsidR="00203371" w:rsidRDefault="00E749C4">
      <w:pPr>
        <w:spacing w:after="0" w:line="259" w:lineRule="auto"/>
        <w:ind w:left="0" w:firstLine="0"/>
        <w:jc w:val="left"/>
      </w:pPr>
      <w:r>
        <w:rPr>
          <w:b/>
          <w:sz w:val="22"/>
        </w:rPr>
        <w:t xml:space="preserve"> </w:t>
      </w:r>
    </w:p>
    <w:tbl>
      <w:tblPr>
        <w:tblStyle w:val="TableGrid"/>
        <w:tblW w:w="9640" w:type="dxa"/>
        <w:tblInd w:w="-4" w:type="dxa"/>
        <w:tblCellMar>
          <w:top w:w="65" w:type="dxa"/>
          <w:left w:w="109" w:type="dxa"/>
          <w:bottom w:w="0" w:type="dxa"/>
          <w:right w:w="115" w:type="dxa"/>
        </w:tblCellMar>
        <w:tblLook w:val="04A0" w:firstRow="1" w:lastRow="0" w:firstColumn="1" w:lastColumn="0" w:noHBand="0" w:noVBand="1"/>
      </w:tblPr>
      <w:tblGrid>
        <w:gridCol w:w="4360"/>
        <w:gridCol w:w="5280"/>
      </w:tblGrid>
      <w:tr w:rsidR="00203371">
        <w:trPr>
          <w:trHeight w:val="418"/>
        </w:trPr>
        <w:tc>
          <w:tcPr>
            <w:tcW w:w="4360" w:type="dxa"/>
            <w:tcBorders>
              <w:top w:val="single" w:sz="8" w:space="0" w:color="000000"/>
              <w:left w:val="single" w:sz="8" w:space="0" w:color="000000"/>
              <w:bottom w:val="single" w:sz="8" w:space="0" w:color="000000"/>
              <w:right w:val="single" w:sz="8" w:space="0" w:color="000000"/>
            </w:tcBorders>
            <w:shd w:val="clear" w:color="auto" w:fill="E0E0E0"/>
          </w:tcPr>
          <w:p w:rsidR="00203371" w:rsidRDefault="00E749C4">
            <w:pPr>
              <w:spacing w:after="0" w:line="259" w:lineRule="auto"/>
              <w:ind w:left="0" w:firstLine="0"/>
              <w:jc w:val="left"/>
            </w:pPr>
            <w:r>
              <w:rPr>
                <w:b/>
                <w:sz w:val="22"/>
              </w:rPr>
              <w:t xml:space="preserve">Docente </w:t>
            </w:r>
          </w:p>
        </w:tc>
        <w:tc>
          <w:tcPr>
            <w:tcW w:w="5279" w:type="dxa"/>
            <w:tcBorders>
              <w:top w:val="single" w:sz="8" w:space="0" w:color="000000"/>
              <w:left w:val="single" w:sz="8" w:space="0" w:color="000000"/>
              <w:bottom w:val="single" w:sz="8" w:space="0" w:color="000000"/>
              <w:right w:val="single" w:sz="8" w:space="0" w:color="000000"/>
            </w:tcBorders>
            <w:shd w:val="clear" w:color="auto" w:fill="E0E0E0"/>
          </w:tcPr>
          <w:p w:rsidR="00203371" w:rsidRDefault="00E749C4">
            <w:pPr>
              <w:spacing w:after="0" w:line="259" w:lineRule="auto"/>
              <w:ind w:left="5" w:firstLine="0"/>
              <w:jc w:val="left"/>
            </w:pPr>
            <w:r>
              <w:rPr>
                <w:b/>
                <w:sz w:val="22"/>
              </w:rPr>
              <w:t xml:space="preserve">E-mail </w:t>
            </w:r>
          </w:p>
        </w:tc>
      </w:tr>
      <w:tr w:rsidR="00203371">
        <w:trPr>
          <w:trHeight w:val="401"/>
        </w:trPr>
        <w:tc>
          <w:tcPr>
            <w:tcW w:w="43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0" w:firstLine="0"/>
              <w:jc w:val="left"/>
            </w:pPr>
            <w:r>
              <w:rPr>
                <w:b/>
                <w:sz w:val="22"/>
              </w:rPr>
              <w:t xml:space="preserve">CHAYA, Said </w:t>
            </w:r>
          </w:p>
        </w:tc>
        <w:tc>
          <w:tcPr>
            <w:tcW w:w="5279"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5" w:firstLine="0"/>
              <w:jc w:val="left"/>
            </w:pPr>
            <w:r>
              <w:rPr>
                <w:b/>
                <w:sz w:val="22"/>
              </w:rPr>
              <w:t xml:space="preserve">said.chaya@usal.edu.ar </w:t>
            </w:r>
          </w:p>
        </w:tc>
      </w:tr>
      <w:tr w:rsidR="00203371">
        <w:trPr>
          <w:trHeight w:val="400"/>
        </w:trPr>
        <w:tc>
          <w:tcPr>
            <w:tcW w:w="43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0" w:firstLine="0"/>
              <w:jc w:val="left"/>
            </w:pPr>
            <w:r>
              <w:rPr>
                <w:b/>
                <w:sz w:val="22"/>
              </w:rPr>
              <w:lastRenderedPageBreak/>
              <w:t xml:space="preserve"> </w:t>
            </w:r>
          </w:p>
        </w:tc>
        <w:tc>
          <w:tcPr>
            <w:tcW w:w="5279"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5" w:firstLine="0"/>
              <w:jc w:val="left"/>
            </w:pPr>
            <w:r>
              <w:rPr>
                <w:b/>
                <w:sz w:val="22"/>
              </w:rPr>
              <w:t xml:space="preserve"> </w:t>
            </w:r>
          </w:p>
        </w:tc>
      </w:tr>
      <w:tr w:rsidR="00203371">
        <w:trPr>
          <w:trHeight w:val="400"/>
        </w:trPr>
        <w:tc>
          <w:tcPr>
            <w:tcW w:w="43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0" w:firstLine="0"/>
              <w:jc w:val="left"/>
            </w:pPr>
            <w:r>
              <w:rPr>
                <w:b/>
                <w:sz w:val="22"/>
              </w:rPr>
              <w:t xml:space="preserve"> </w:t>
            </w:r>
          </w:p>
        </w:tc>
        <w:tc>
          <w:tcPr>
            <w:tcW w:w="5279"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5" w:firstLine="0"/>
              <w:jc w:val="left"/>
            </w:pPr>
            <w:r>
              <w:rPr>
                <w:b/>
                <w:sz w:val="22"/>
              </w:rPr>
              <w:t xml:space="preserve"> </w:t>
            </w:r>
          </w:p>
        </w:tc>
      </w:tr>
    </w:tbl>
    <w:p w:rsidR="00203371" w:rsidRDefault="00E749C4">
      <w:pPr>
        <w:spacing w:after="0" w:line="259" w:lineRule="auto"/>
        <w:ind w:left="0" w:firstLine="0"/>
        <w:jc w:val="left"/>
      </w:pPr>
      <w:r>
        <w:rPr>
          <w:b/>
          <w:sz w:val="22"/>
        </w:rPr>
        <w:t xml:space="preserve"> </w:t>
      </w:r>
    </w:p>
    <w:p w:rsidR="00203371" w:rsidRDefault="00E749C4">
      <w:pPr>
        <w:spacing w:after="0" w:line="259" w:lineRule="auto"/>
        <w:ind w:left="0" w:firstLine="0"/>
        <w:jc w:val="left"/>
      </w:pPr>
      <w:r>
        <w:rPr>
          <w:b/>
          <w:sz w:val="22"/>
        </w:rPr>
        <w:t xml:space="preserve"> </w:t>
      </w:r>
    </w:p>
    <w:p w:rsidR="00203371" w:rsidRDefault="00E749C4">
      <w:pPr>
        <w:numPr>
          <w:ilvl w:val="0"/>
          <w:numId w:val="1"/>
        </w:numPr>
        <w:spacing w:after="179" w:line="265" w:lineRule="auto"/>
        <w:ind w:hanging="360"/>
        <w:jc w:val="left"/>
      </w:pPr>
      <w:r>
        <w:rPr>
          <w:b/>
          <w:sz w:val="22"/>
        </w:rPr>
        <w:t xml:space="preserve">ÁREA EN QUE SE ENCUENTRA EL SEMINARIO DENTRO DE LA CARRERA: </w:t>
      </w:r>
    </w:p>
    <w:p w:rsidR="00203371" w:rsidRDefault="00E749C4">
      <w:r>
        <w:t xml:space="preserve">Relaciones Internacionales </w:t>
      </w:r>
    </w:p>
    <w:p w:rsidR="00203371" w:rsidRDefault="00E749C4">
      <w:pPr>
        <w:spacing w:after="0" w:line="259" w:lineRule="auto"/>
        <w:ind w:left="0" w:firstLine="0"/>
        <w:jc w:val="left"/>
      </w:pPr>
      <w:r>
        <w:t xml:space="preserve"> </w:t>
      </w:r>
    </w:p>
    <w:p w:rsidR="00203371" w:rsidRDefault="00E749C4">
      <w:pPr>
        <w:spacing w:after="0" w:line="259" w:lineRule="auto"/>
        <w:ind w:left="0" w:firstLine="0"/>
        <w:jc w:val="left"/>
      </w:pPr>
      <w:r>
        <w:rPr>
          <w:sz w:val="22"/>
        </w:rPr>
        <w:t xml:space="preserve"> </w:t>
      </w:r>
    </w:p>
    <w:p w:rsidR="00203371" w:rsidRDefault="00E749C4">
      <w:pPr>
        <w:spacing w:after="0" w:line="259" w:lineRule="auto"/>
        <w:ind w:left="0" w:firstLine="0"/>
        <w:jc w:val="left"/>
      </w:pPr>
      <w:r>
        <w:rPr>
          <w:sz w:val="22"/>
        </w:rPr>
        <w:t xml:space="preserve"> </w:t>
      </w:r>
    </w:p>
    <w:p w:rsidR="00203371" w:rsidRDefault="00E749C4">
      <w:pPr>
        <w:numPr>
          <w:ilvl w:val="0"/>
          <w:numId w:val="1"/>
        </w:numPr>
        <w:spacing w:after="179" w:line="265" w:lineRule="auto"/>
        <w:ind w:hanging="360"/>
        <w:jc w:val="left"/>
      </w:pPr>
      <w:r>
        <w:rPr>
          <w:b/>
          <w:sz w:val="22"/>
        </w:rPr>
        <w:t xml:space="preserve">FUNDAMENTACIÓN DE LA MATERIA/SEMINARIO EN LA CARRERA: </w:t>
      </w:r>
    </w:p>
    <w:p w:rsidR="00203371" w:rsidRDefault="00E749C4">
      <w:pPr>
        <w:spacing w:after="216"/>
      </w:pPr>
      <w:r>
        <w:t xml:space="preserve">El espacio curricular “Medio Oriente Contemporáneo” se propone </w:t>
      </w:r>
      <w:r>
        <w:t>brindar herramientas que permitan la comprensión y la crítica de las complejidades que han atravesado a la región del Medio Oriente y África del Norte (MENA) a lo largo de los siglos XX y XXI, desde la caída del Imperio Otomano hasta nuestros días. El cono</w:t>
      </w:r>
      <w:r>
        <w:t xml:space="preserve">cimiento de la región es estratégico por diversos motivos: </w:t>
      </w:r>
    </w:p>
    <w:p w:rsidR="00203371" w:rsidRDefault="00E749C4">
      <w:pPr>
        <w:numPr>
          <w:ilvl w:val="1"/>
          <w:numId w:val="1"/>
        </w:numPr>
        <w:spacing w:after="216"/>
        <w:ind w:hanging="360"/>
      </w:pPr>
      <w:r>
        <w:t>Geopolíticos: la región actúa como conectora entre África, Asia y Europa, lo que le brinda una particular importancia en materia de transporte, y constituye una de las reservas de petróleo y gas m</w:t>
      </w:r>
      <w:r>
        <w:t xml:space="preserve">ás importantes del mundo, fundamentales para la provisión energética. En su territorio se hallan los Estrechos, el canal de Suez y el golfo Pérsico. </w:t>
      </w:r>
    </w:p>
    <w:p w:rsidR="00203371" w:rsidRDefault="00E749C4">
      <w:pPr>
        <w:numPr>
          <w:ilvl w:val="1"/>
          <w:numId w:val="1"/>
        </w:numPr>
        <w:spacing w:after="216"/>
        <w:ind w:hanging="360"/>
      </w:pPr>
      <w:r>
        <w:t>Culturales: con su matriz de diversidad, la zona es cuna de algunas de las civilizaciones que han dejado i</w:t>
      </w:r>
      <w:r>
        <w:t xml:space="preserve">mportantes aportaciones a la humanidad, como los asirios, sumerios, egipcios, fenicios y persas. Además, es el lugar de surgimiento de las tres grandes religiones monoteístas: el cristianismo, el judaísmo y el islamismo. </w:t>
      </w:r>
    </w:p>
    <w:p w:rsidR="00203371" w:rsidRDefault="00E749C4">
      <w:pPr>
        <w:numPr>
          <w:ilvl w:val="1"/>
          <w:numId w:val="1"/>
        </w:numPr>
        <w:ind w:hanging="360"/>
      </w:pPr>
      <w:r>
        <w:t>Estratégicos: la región ha dado or</w:t>
      </w:r>
      <w:r>
        <w:t>igen a actores transnacionales y coyunturas altamente relevantes con impacto internacional, como el persistente enfrentamiento árabe-israelí y las guerras de Irak, Siria, Libia y Yemen. Estos conflictos han sido generadores de jurisprudencia internacional,</w:t>
      </w:r>
      <w:r>
        <w:t xml:space="preserve"> han desplazado a millones de personas y han derramado violencia más allá de sus fronteras. </w:t>
      </w:r>
    </w:p>
    <w:p w:rsidR="00203371" w:rsidRDefault="00E749C4">
      <w:pPr>
        <w:spacing w:after="0" w:line="259" w:lineRule="auto"/>
        <w:ind w:left="0" w:firstLine="0"/>
        <w:jc w:val="left"/>
      </w:pPr>
      <w:r>
        <w:rPr>
          <w:sz w:val="22"/>
        </w:rPr>
        <w:t xml:space="preserve"> </w:t>
      </w:r>
    </w:p>
    <w:p w:rsidR="00203371" w:rsidRDefault="00E749C4">
      <w:pPr>
        <w:numPr>
          <w:ilvl w:val="0"/>
          <w:numId w:val="1"/>
        </w:numPr>
        <w:spacing w:after="179" w:line="265" w:lineRule="auto"/>
        <w:ind w:hanging="360"/>
        <w:jc w:val="left"/>
      </w:pPr>
      <w:r>
        <w:rPr>
          <w:b/>
          <w:sz w:val="22"/>
        </w:rPr>
        <w:t xml:space="preserve">OBJETIVOS DE LA MATERIA: </w:t>
      </w:r>
    </w:p>
    <w:p w:rsidR="00203371" w:rsidRDefault="00E749C4">
      <w:r>
        <w:t xml:space="preserve">Son objetivos de este espacio curricular: </w:t>
      </w:r>
    </w:p>
    <w:p w:rsidR="00203371" w:rsidRDefault="00E749C4">
      <w:pPr>
        <w:numPr>
          <w:ilvl w:val="1"/>
          <w:numId w:val="2"/>
        </w:numPr>
        <w:ind w:hanging="360"/>
      </w:pPr>
      <w:r>
        <w:t xml:space="preserve">Desarrollar una comprensión crítica de los principales procesos históricos que han moldeado </w:t>
      </w:r>
      <w:r>
        <w:t xml:space="preserve">al Medio Oriente contemporáneo y la forma en la que estos han impactado en la agenda internacional, y viceversa. </w:t>
      </w:r>
    </w:p>
    <w:p w:rsidR="00203371" w:rsidRDefault="00E749C4">
      <w:pPr>
        <w:numPr>
          <w:ilvl w:val="1"/>
          <w:numId w:val="2"/>
        </w:numPr>
        <w:ind w:hanging="360"/>
      </w:pPr>
      <w:r>
        <w:t xml:space="preserve">Identificar actores estatales, no estatales y transnacionales, así como la red de vinculaciones que se establece entre sí. </w:t>
      </w:r>
    </w:p>
    <w:p w:rsidR="00203371" w:rsidRDefault="00E749C4">
      <w:pPr>
        <w:numPr>
          <w:ilvl w:val="1"/>
          <w:numId w:val="2"/>
        </w:numPr>
        <w:ind w:hanging="360"/>
      </w:pPr>
      <w:r>
        <w:lastRenderedPageBreak/>
        <w:t>Analizar las dinám</w:t>
      </w:r>
      <w:r>
        <w:t xml:space="preserve">icas domésticas y la forma en la que se imbrican con las tendencias regionales y las agendas globales. </w:t>
      </w:r>
    </w:p>
    <w:p w:rsidR="00203371" w:rsidRDefault="00E749C4">
      <w:pPr>
        <w:numPr>
          <w:ilvl w:val="1"/>
          <w:numId w:val="2"/>
        </w:numPr>
        <w:ind w:hanging="360"/>
      </w:pPr>
      <w:r>
        <w:t xml:space="preserve">Apreciar la diversidad cultural existente en la región y valorar a través de la misma el diálogo entre religiones y culturas. </w:t>
      </w:r>
    </w:p>
    <w:p w:rsidR="00203371" w:rsidRDefault="00E749C4">
      <w:pPr>
        <w:spacing w:after="0" w:line="259" w:lineRule="auto"/>
        <w:ind w:left="0" w:firstLine="0"/>
        <w:jc w:val="left"/>
      </w:pPr>
      <w:r>
        <w:rPr>
          <w:b/>
          <w:sz w:val="22"/>
        </w:rPr>
        <w:t xml:space="preserve"> </w:t>
      </w:r>
    </w:p>
    <w:p w:rsidR="00203371" w:rsidRDefault="00E749C4">
      <w:pPr>
        <w:spacing w:after="0" w:line="259" w:lineRule="auto"/>
        <w:ind w:left="0" w:firstLine="0"/>
        <w:jc w:val="left"/>
      </w:pPr>
      <w:r>
        <w:rPr>
          <w:b/>
          <w:sz w:val="22"/>
        </w:rPr>
        <w:t xml:space="preserve"> </w:t>
      </w:r>
    </w:p>
    <w:p w:rsidR="00203371" w:rsidRDefault="00E749C4">
      <w:pPr>
        <w:spacing w:after="0" w:line="259" w:lineRule="auto"/>
        <w:ind w:left="0" w:firstLine="0"/>
        <w:jc w:val="left"/>
      </w:pPr>
      <w:r>
        <w:rPr>
          <w:b/>
          <w:sz w:val="22"/>
        </w:rPr>
        <w:t xml:space="preserve"> </w:t>
      </w:r>
    </w:p>
    <w:p w:rsidR="00203371" w:rsidRDefault="00E749C4">
      <w:pPr>
        <w:numPr>
          <w:ilvl w:val="0"/>
          <w:numId w:val="1"/>
        </w:numPr>
        <w:spacing w:after="5" w:line="249" w:lineRule="auto"/>
        <w:ind w:hanging="360"/>
        <w:jc w:val="left"/>
      </w:pPr>
      <w:r>
        <w:rPr>
          <w:b/>
          <w:sz w:val="22"/>
        </w:rPr>
        <w:t>ASIGNACIÓN HORARIA:</w:t>
      </w:r>
      <w:r>
        <w:rPr>
          <w:b/>
          <w:sz w:val="22"/>
        </w:rPr>
        <w:t xml:space="preserve"> </w:t>
      </w:r>
      <w:r>
        <w:rPr>
          <w:i/>
          <w:sz w:val="22"/>
        </w:rPr>
        <w:t>(discriminar carga horaria teórica y práctica para carreras que acreditan ante CONEAU)</w:t>
      </w:r>
      <w:r>
        <w:rPr>
          <w:b/>
          <w:sz w:val="22"/>
        </w:rPr>
        <w:t xml:space="preserve"> </w:t>
      </w:r>
    </w:p>
    <w:p w:rsidR="00203371" w:rsidRDefault="00E749C4">
      <w:pPr>
        <w:spacing w:after="0" w:line="259" w:lineRule="auto"/>
        <w:ind w:left="0" w:firstLine="0"/>
        <w:jc w:val="left"/>
      </w:pPr>
      <w:r>
        <w:rPr>
          <w:b/>
          <w:sz w:val="22"/>
        </w:rPr>
        <w:t xml:space="preserve"> </w:t>
      </w:r>
    </w:p>
    <w:tbl>
      <w:tblPr>
        <w:tblStyle w:val="TableGrid"/>
        <w:tblW w:w="9640" w:type="dxa"/>
        <w:tblInd w:w="-4" w:type="dxa"/>
        <w:tblCellMar>
          <w:top w:w="121" w:type="dxa"/>
          <w:left w:w="109" w:type="dxa"/>
          <w:bottom w:w="0" w:type="dxa"/>
          <w:right w:w="115" w:type="dxa"/>
        </w:tblCellMar>
        <w:tblLook w:val="04A0" w:firstRow="1" w:lastRow="0" w:firstColumn="1" w:lastColumn="0" w:noHBand="0" w:noVBand="1"/>
      </w:tblPr>
      <w:tblGrid>
        <w:gridCol w:w="2300"/>
        <w:gridCol w:w="2440"/>
        <w:gridCol w:w="2440"/>
        <w:gridCol w:w="2460"/>
      </w:tblGrid>
      <w:tr w:rsidR="00203371">
        <w:trPr>
          <w:trHeight w:val="360"/>
        </w:trPr>
        <w:tc>
          <w:tcPr>
            <w:tcW w:w="23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0" w:firstLine="0"/>
              <w:jc w:val="left"/>
            </w:pPr>
            <w:r>
              <w:rPr>
                <w:sz w:val="22"/>
              </w:rPr>
              <w:t xml:space="preserve"> </w:t>
            </w:r>
          </w:p>
        </w:tc>
        <w:tc>
          <w:tcPr>
            <w:tcW w:w="24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 w:firstLine="0"/>
              <w:jc w:val="center"/>
            </w:pPr>
            <w:r>
              <w:rPr>
                <w:b/>
                <w:sz w:val="22"/>
              </w:rPr>
              <w:t xml:space="preserve">Teórica </w:t>
            </w:r>
          </w:p>
        </w:tc>
        <w:tc>
          <w:tcPr>
            <w:tcW w:w="24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9" w:firstLine="0"/>
              <w:jc w:val="center"/>
            </w:pPr>
            <w:r>
              <w:rPr>
                <w:b/>
                <w:sz w:val="22"/>
              </w:rPr>
              <w:t xml:space="preserve">Práctica </w:t>
            </w:r>
          </w:p>
        </w:tc>
        <w:tc>
          <w:tcPr>
            <w:tcW w:w="24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 w:firstLine="0"/>
              <w:jc w:val="center"/>
            </w:pPr>
            <w:r>
              <w:rPr>
                <w:b/>
                <w:sz w:val="22"/>
              </w:rPr>
              <w:t xml:space="preserve">Total </w:t>
            </w:r>
          </w:p>
        </w:tc>
      </w:tr>
      <w:tr w:rsidR="00203371">
        <w:trPr>
          <w:trHeight w:val="600"/>
        </w:trPr>
        <w:tc>
          <w:tcPr>
            <w:tcW w:w="230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firstLine="0"/>
              <w:jc w:val="left"/>
            </w:pPr>
            <w:r>
              <w:rPr>
                <w:b/>
                <w:sz w:val="22"/>
              </w:rPr>
              <w:t xml:space="preserve">Carga horaria </w:t>
            </w:r>
          </w:p>
        </w:tc>
        <w:tc>
          <w:tcPr>
            <w:tcW w:w="244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9" w:firstLine="0"/>
              <w:jc w:val="center"/>
            </w:pPr>
            <w:r>
              <w:rPr>
                <w:sz w:val="22"/>
              </w:rPr>
              <w:t xml:space="preserve">- </w:t>
            </w:r>
          </w:p>
        </w:tc>
        <w:tc>
          <w:tcPr>
            <w:tcW w:w="244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19" w:firstLine="0"/>
              <w:jc w:val="center"/>
            </w:pPr>
            <w:r>
              <w:rPr>
                <w:sz w:val="22"/>
              </w:rPr>
              <w:t xml:space="preserve">- </w:t>
            </w:r>
          </w:p>
        </w:tc>
        <w:tc>
          <w:tcPr>
            <w:tcW w:w="246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9" w:firstLine="0"/>
              <w:jc w:val="center"/>
            </w:pPr>
            <w:r>
              <w:rPr>
                <w:sz w:val="22"/>
              </w:rPr>
              <w:t xml:space="preserve">54 </w:t>
            </w:r>
          </w:p>
        </w:tc>
      </w:tr>
    </w:tbl>
    <w:p w:rsidR="00203371" w:rsidRDefault="00E749C4">
      <w:pPr>
        <w:spacing w:after="0" w:line="259" w:lineRule="auto"/>
        <w:ind w:left="0" w:firstLine="0"/>
        <w:jc w:val="left"/>
      </w:pPr>
      <w:r>
        <w:rPr>
          <w:sz w:val="22"/>
        </w:rPr>
        <w:t xml:space="preserve"> </w:t>
      </w:r>
    </w:p>
    <w:p w:rsidR="00203371" w:rsidRDefault="00E749C4">
      <w:pPr>
        <w:spacing w:after="0" w:line="259" w:lineRule="auto"/>
        <w:ind w:left="0" w:firstLine="0"/>
        <w:jc w:val="left"/>
      </w:pPr>
      <w:r>
        <w:rPr>
          <w:sz w:val="22"/>
        </w:rPr>
        <w:t xml:space="preserve"> </w:t>
      </w:r>
    </w:p>
    <w:p w:rsidR="00203371" w:rsidRDefault="00E749C4">
      <w:pPr>
        <w:numPr>
          <w:ilvl w:val="0"/>
          <w:numId w:val="1"/>
        </w:numPr>
        <w:spacing w:after="179" w:line="265" w:lineRule="auto"/>
        <w:ind w:hanging="360"/>
        <w:jc w:val="left"/>
      </w:pPr>
      <w:r>
        <w:rPr>
          <w:b/>
          <w:sz w:val="22"/>
        </w:rPr>
        <w:t xml:space="preserve">UNIDADES TEMÁTICAS, CONTENIDOS, BIBLIOGRAFÍA POR UNIDAD TEMÁTICA: </w:t>
      </w:r>
    </w:p>
    <w:p w:rsidR="00203371" w:rsidRDefault="00E749C4">
      <w:r>
        <w:t xml:space="preserve">Los contenidos de este Programa están </w:t>
      </w:r>
      <w:r>
        <w:t>precedidos por una unidad temática que brinda una breve introducción al islamismo. Las demás unidades intentan seguir una suerte de línea histórica que, aprovechando una determinada coyuntura, en ciertas ocasiones profundiza sobre determinados temas proyec</w:t>
      </w:r>
      <w:r>
        <w:t xml:space="preserve">tándose de forma dialógica con la actualidad. </w:t>
      </w:r>
    </w:p>
    <w:p w:rsidR="00203371" w:rsidRDefault="00E749C4">
      <w:r>
        <w:t xml:space="preserve">Bibliografía general:  </w:t>
      </w:r>
    </w:p>
    <w:p w:rsidR="00203371" w:rsidRDefault="00E749C4">
      <w:pPr>
        <w:ind w:left="715"/>
      </w:pPr>
      <w:r>
        <w:t xml:space="preserve">Chaya, S. (2024). Historia de Medio Oriente: desde la caída del Imperio Otomano hasta la guerra del Golfo (1919-1991). </w:t>
      </w:r>
      <w:r>
        <w:rPr>
          <w:i/>
        </w:rPr>
        <w:t>Anuario del Núcleo de Estudios de Medio Oriente, 3</w:t>
      </w:r>
      <w:r>
        <w:t>. Universidad Au</w:t>
      </w:r>
      <w:r>
        <w:t xml:space="preserve">stral.  </w:t>
      </w:r>
    </w:p>
    <w:p w:rsidR="00203371" w:rsidRDefault="00E749C4">
      <w:r>
        <w:rPr>
          <w:b/>
        </w:rPr>
        <w:t>UNIDAD 1: Introducción al islamismo.</w:t>
      </w:r>
      <w:r>
        <w:t xml:space="preserve"> El islam, una dimensión necesaria para la comprensión del Medio Oriente. Historia de la inspiración del islam por el profeta Muhammad. La “hégira”: de La Meca a Medina. Consolidación del gobierno de Muhammad. L</w:t>
      </w:r>
      <w:r>
        <w:t xml:space="preserve">a conquista de La Meca. La muerte del profeta y su sucesión: sunitas y chiítas. El Corán y los pilares del islam. La expansión del islam a través de los sucesivos califatos. Diversidad del islam en Medio Oriente. </w:t>
      </w:r>
    </w:p>
    <w:p w:rsidR="00203371" w:rsidRDefault="00E749C4">
      <w:pPr>
        <w:ind w:left="715"/>
      </w:pPr>
      <w:r>
        <w:t>Álvarez Ossorio, I. (2006). El mundo árabe</w:t>
      </w:r>
      <w:r>
        <w:t xml:space="preserve">: entre la tradición y la modernidad. </w:t>
      </w:r>
      <w:r>
        <w:rPr>
          <w:i/>
        </w:rPr>
        <w:t>Cuadernos Bakeaz, 73</w:t>
      </w:r>
      <w:r>
        <w:t xml:space="preserve">. Ed. Centro de Documentación y Estudios para la Paz (Bilbao). </w:t>
      </w:r>
    </w:p>
    <w:p w:rsidR="00203371" w:rsidRDefault="00E749C4">
      <w:pPr>
        <w:ind w:left="715"/>
      </w:pPr>
      <w:r>
        <w:t xml:space="preserve">Zeraoui, Z. (2008). Una mirada sobre el islam: las visiones oriente-occidente. </w:t>
      </w:r>
      <w:r>
        <w:rPr>
          <w:i/>
        </w:rPr>
        <w:t>Relaciones Internacionales, 35</w:t>
      </w:r>
      <w:r>
        <w:t xml:space="preserve"> - pp. 219-239. </w:t>
      </w:r>
    </w:p>
    <w:p w:rsidR="00203371" w:rsidRDefault="00E749C4">
      <w:r>
        <w:rPr>
          <w:b/>
        </w:rPr>
        <w:t>UNIDAD 2</w:t>
      </w:r>
      <w:r>
        <w:rPr>
          <w:b/>
        </w:rPr>
        <w:t>: El Orden de Versalles.</w:t>
      </w:r>
      <w:r>
        <w:t xml:space="preserve"> El declive del Imperio Otomano a partir de las leyes del </w:t>
      </w:r>
      <w:r>
        <w:rPr>
          <w:i/>
        </w:rPr>
        <w:t>Tanzimat</w:t>
      </w:r>
      <w:r>
        <w:t xml:space="preserve">. La relación del Imperio Otomano con las potencias de la Pentarquía. El Imperio Otomano </w:t>
      </w:r>
      <w:r>
        <w:lastRenderedPageBreak/>
        <w:t>frente a la I Guerra Mundial. La Gran Revuelta Árabe. El Pacto Sykes-Picot. L</w:t>
      </w:r>
      <w:r>
        <w:t xml:space="preserve">a Conferencia de Paz de París. El primer arabismo. El Mandato. </w:t>
      </w:r>
    </w:p>
    <w:p w:rsidR="00203371" w:rsidRDefault="00E749C4">
      <w:pPr>
        <w:ind w:left="715"/>
      </w:pPr>
      <w:r>
        <w:t xml:space="preserve">Campanini, M. (2006). </w:t>
      </w:r>
      <w:r>
        <w:rPr>
          <w:i/>
        </w:rPr>
        <w:t>Historia de Oriente Medio: de 1798 a nuestros días</w:t>
      </w:r>
      <w:r>
        <w:t xml:space="preserve">. Caps. 4 y 5. Ed. Antonio Machado. </w:t>
      </w:r>
    </w:p>
    <w:p w:rsidR="00203371" w:rsidRDefault="00E749C4">
      <w:pPr>
        <w:spacing w:after="185" w:line="302" w:lineRule="auto"/>
        <w:ind w:left="715" w:right="-9"/>
        <w:jc w:val="left"/>
      </w:pPr>
      <w:r>
        <w:t xml:space="preserve">Derghougassian, K. (2017). </w:t>
      </w:r>
      <w:r>
        <w:rPr>
          <w:i/>
        </w:rPr>
        <w:t xml:space="preserve">Todo lo que necesitás saber sobre el conflicto en Medio </w:t>
      </w:r>
      <w:r>
        <w:rPr>
          <w:i/>
        </w:rPr>
        <w:t>Oriente</w:t>
      </w:r>
      <w:r>
        <w:t xml:space="preserve">. Caps. 3 y 4. Ed. Paidós. </w:t>
      </w:r>
    </w:p>
    <w:p w:rsidR="00203371" w:rsidRDefault="00E749C4">
      <w:pPr>
        <w:ind w:left="715"/>
      </w:pPr>
      <w:r>
        <w:t xml:space="preserve">Hourani, A. (2013). </w:t>
      </w:r>
      <w:r>
        <w:rPr>
          <w:i/>
        </w:rPr>
        <w:t>La historia de los árabes</w:t>
      </w:r>
      <w:r>
        <w:t xml:space="preserve">. Caps. 16 a 19. Ediciones B.  </w:t>
      </w:r>
    </w:p>
    <w:p w:rsidR="00203371" w:rsidRDefault="00E749C4">
      <w:pPr>
        <w:ind w:left="715"/>
      </w:pPr>
      <w:r>
        <w:t xml:space="preserve">Marzuca Butto, R. (2005). Colonialismo y orden regional en el mundo árabe. </w:t>
      </w:r>
      <w:r>
        <w:rPr>
          <w:i/>
        </w:rPr>
        <w:t>Revista de Estudios Árabes, 1</w:t>
      </w:r>
      <w:r>
        <w:t xml:space="preserve">(1) - pp. 77-113. </w:t>
      </w:r>
    </w:p>
    <w:p w:rsidR="00203371" w:rsidRDefault="00E749C4">
      <w:r>
        <w:rPr>
          <w:b/>
        </w:rPr>
        <w:t xml:space="preserve">UNIDAD 3: Medio </w:t>
      </w:r>
      <w:r>
        <w:rPr>
          <w:b/>
        </w:rPr>
        <w:t>Oriente y sus Estados-Nación.</w:t>
      </w:r>
      <w:r>
        <w:t xml:space="preserve"> Medio Oriente ante la II Guerra Mundial. Los procesos de independencia en el Líbano, Siria, Irak y Jordania en las décadas del treinta y cuarenta. El sionismo. La migración judía a Medio Oriente. La creación de la Liga Árabe. </w:t>
      </w:r>
      <w:r>
        <w:t xml:space="preserve">El Plan de Partición de Palestina. La </w:t>
      </w:r>
      <w:r>
        <w:rPr>
          <w:i/>
        </w:rPr>
        <w:t>Nakba</w:t>
      </w:r>
      <w:r>
        <w:t xml:space="preserve">. La I Guerra Árabe-Israelí. </w:t>
      </w:r>
    </w:p>
    <w:p w:rsidR="00203371" w:rsidRDefault="00E749C4">
      <w:pPr>
        <w:ind w:left="715"/>
      </w:pPr>
      <w:r>
        <w:t xml:space="preserve">Al-Midani, M. (s/f). </w:t>
      </w:r>
      <w:r>
        <w:rPr>
          <w:i/>
        </w:rPr>
        <w:t>La Liga de Estados Árabes y los Derechos Humanos</w:t>
      </w:r>
      <w:r>
        <w:t xml:space="preserve">. Instituto de Relaciones Internacionales de la Universidad Nacional de La Plata.  </w:t>
      </w:r>
    </w:p>
    <w:p w:rsidR="00203371" w:rsidRDefault="00E749C4">
      <w:pPr>
        <w:spacing w:after="5" w:line="302" w:lineRule="auto"/>
        <w:ind w:left="715" w:right="-9"/>
        <w:jc w:val="left"/>
      </w:pPr>
      <w:r>
        <w:t xml:space="preserve">Brieger, P. (2010). </w:t>
      </w:r>
      <w:r>
        <w:rPr>
          <w:i/>
        </w:rPr>
        <w:t>El conflic</w:t>
      </w:r>
      <w:r>
        <w:rPr>
          <w:i/>
        </w:rPr>
        <w:t>to palestino-israelí: cien preguntas y respuestas</w:t>
      </w:r>
      <w:r>
        <w:t xml:space="preserve">. Secciones 1 a </w:t>
      </w:r>
    </w:p>
    <w:p w:rsidR="00203371" w:rsidRDefault="00E749C4">
      <w:pPr>
        <w:ind w:left="715"/>
      </w:pPr>
      <w:r>
        <w:t xml:space="preserve">16. Ed. Capital Intelectual. </w:t>
      </w:r>
    </w:p>
    <w:p w:rsidR="00203371" w:rsidRDefault="00E749C4">
      <w:pPr>
        <w:ind w:left="715"/>
      </w:pPr>
      <w:r>
        <w:t xml:space="preserve">Domínguez de Olazábal, I. (2022). </w:t>
      </w:r>
      <w:r>
        <w:rPr>
          <w:i/>
        </w:rPr>
        <w:t>Palestina: ocupación, colonización, segregación</w:t>
      </w:r>
      <w:r>
        <w:t xml:space="preserve">. Caps. 4 y 5. Ed. Catarata. </w:t>
      </w:r>
    </w:p>
    <w:p w:rsidR="00203371" w:rsidRDefault="00E749C4">
      <w:pPr>
        <w:ind w:left="715"/>
      </w:pPr>
      <w:r>
        <w:t xml:space="preserve">Hourani, A. (2013). </w:t>
      </w:r>
      <w:r>
        <w:rPr>
          <w:i/>
        </w:rPr>
        <w:t>La historia de los árabes</w:t>
      </w:r>
      <w:r>
        <w:t>. Ca</w:t>
      </w:r>
      <w:r>
        <w:t xml:space="preserve">p. 21. Ediciones B.  </w:t>
      </w:r>
    </w:p>
    <w:p w:rsidR="00203371" w:rsidRDefault="00E749C4">
      <w:pPr>
        <w:spacing w:after="185" w:line="302" w:lineRule="auto"/>
        <w:ind w:left="715" w:right="-9"/>
        <w:jc w:val="left"/>
      </w:pPr>
      <w:r>
        <w:t xml:space="preserve">Rodríguez Zahar, L (2004). </w:t>
      </w:r>
      <w:r>
        <w:rPr>
          <w:i/>
        </w:rPr>
        <w:t>Líbano, espejo del Medio Oriente: comunidad, confesión y Estado en los siglos VII-XXI</w:t>
      </w:r>
      <w:r>
        <w:t xml:space="preserve">. Cap. III, sección C. Ed. El Colegio de México. </w:t>
      </w:r>
    </w:p>
    <w:p w:rsidR="00203371" w:rsidRDefault="00E749C4">
      <w:r>
        <w:rPr>
          <w:b/>
        </w:rPr>
        <w:t>UNIDAD 4: Nasser y la corriente arabista.</w:t>
      </w:r>
      <w:r>
        <w:t xml:space="preserve"> Gamal Abdel Nasser y el </w:t>
      </w:r>
      <w:r>
        <w:t>surgimiento del segundo arabismo en Egipto y la región. Experiencias en torno a la unidad árabe en Medio Oriente. El Partido Árabe Baath: fundación y partición. La II Guerra Árabe-Israelí. La fundación de la Organización para la Liberación de Palestina (OL</w:t>
      </w:r>
      <w:r>
        <w:t xml:space="preserve">P). La creación de la Organización de Países Exportadores de Petróleo (OPEP). La III Guerra Árabe-Israelí. La Cumbre de Khartoum. Muerte de Nasser. La IV Guerra Árabe-Israelí. El shock petrolero. El proceso de paz de Camp David. </w:t>
      </w:r>
    </w:p>
    <w:p w:rsidR="00203371" w:rsidRDefault="00E749C4">
      <w:pPr>
        <w:spacing w:after="185" w:line="302" w:lineRule="auto"/>
        <w:ind w:left="715" w:right="-9"/>
        <w:jc w:val="left"/>
      </w:pPr>
      <w:r>
        <w:t>Derghougassian, K. (2017).</w:t>
      </w:r>
      <w:r>
        <w:t xml:space="preserve"> </w:t>
      </w:r>
      <w:r>
        <w:rPr>
          <w:i/>
        </w:rPr>
        <w:t>Todo lo que necesitás saber sobre el conflicto en Medio Oriente</w:t>
      </w:r>
      <w:r>
        <w:t xml:space="preserve">. Cap. 5. Ed. Paidós. </w:t>
      </w:r>
    </w:p>
    <w:p w:rsidR="00203371" w:rsidRDefault="00E749C4">
      <w:pPr>
        <w:ind w:left="715"/>
      </w:pPr>
      <w:r>
        <w:t xml:space="preserve">Hourani, A. (2013). </w:t>
      </w:r>
      <w:r>
        <w:rPr>
          <w:i/>
        </w:rPr>
        <w:t>La historia de los árabes</w:t>
      </w:r>
      <w:r>
        <w:t xml:space="preserve">. Caps. 24 y 25. Ediciones B.  </w:t>
      </w:r>
    </w:p>
    <w:p w:rsidR="00203371" w:rsidRDefault="00E749C4">
      <w:pPr>
        <w:spacing w:after="185" w:line="302" w:lineRule="auto"/>
        <w:ind w:left="715" w:right="-9"/>
        <w:jc w:val="left"/>
      </w:pPr>
      <w:r>
        <w:lastRenderedPageBreak/>
        <w:t xml:space="preserve">Khalidi, R. (2023). </w:t>
      </w:r>
      <w:r>
        <w:rPr>
          <w:i/>
        </w:rPr>
        <w:t>Palestina: cien años de colonialismo y resistencia</w:t>
      </w:r>
      <w:r>
        <w:t xml:space="preserve">. Cap. 4. Ed. Capitán </w:t>
      </w:r>
      <w:r>
        <w:t xml:space="preserve">Swing.  </w:t>
      </w:r>
    </w:p>
    <w:p w:rsidR="00203371" w:rsidRDefault="00E749C4">
      <w:pPr>
        <w:spacing w:after="185" w:line="302" w:lineRule="auto"/>
        <w:ind w:left="715" w:right="-9"/>
        <w:jc w:val="left"/>
      </w:pPr>
      <w:r>
        <w:t xml:space="preserve">Kopel, E. (2022). </w:t>
      </w:r>
      <w:r>
        <w:rPr>
          <w:i/>
        </w:rPr>
        <w:t>La disputa por el control de Medio Oriente: un siglo de conflictos, del Imperio otomano a la actualidad</w:t>
      </w:r>
      <w:r>
        <w:t xml:space="preserve">. Caps. 5 a 7. Ed. Capital Intelectual. </w:t>
      </w:r>
    </w:p>
    <w:p w:rsidR="00203371" w:rsidRDefault="00E749C4">
      <w:r>
        <w:rPr>
          <w:b/>
        </w:rPr>
        <w:t>UNIDAD 5: La constitución de los Estados nacionales en el Golfo.</w:t>
      </w:r>
      <w:r>
        <w:t xml:space="preserve"> Los procesos de inde</w:t>
      </w:r>
      <w:r>
        <w:t xml:space="preserve">pendencia, constitución estatal y subsecuente modernización en los Estados del Golfo Pérsico: Arabia Saudita, Omán, Kuwait, Qatar, Bahrein y los Emiratos Árabes Unidos.  </w:t>
      </w:r>
    </w:p>
    <w:p w:rsidR="00203371" w:rsidRDefault="00E749C4">
      <w:pPr>
        <w:ind w:left="715"/>
      </w:pPr>
      <w:r>
        <w:t xml:space="preserve">Bosemberg, L. (1998). Arabia Saudita: tribalismo, religión, conexión con Occidente y </w:t>
      </w:r>
      <w:r>
        <w:t xml:space="preserve">modernización conservadora. </w:t>
      </w:r>
      <w:r>
        <w:rPr>
          <w:i/>
        </w:rPr>
        <w:t>Historia Crítica, 17</w:t>
      </w:r>
      <w:r>
        <w:t xml:space="preserve"> - pp. 141-175.  </w:t>
      </w:r>
    </w:p>
    <w:p w:rsidR="00203371" w:rsidRDefault="00E749C4">
      <w:pPr>
        <w:ind w:left="715"/>
      </w:pPr>
      <w:r>
        <w:t xml:space="preserve">Bruzzone Martínez, S. (s/f). Los Emiratos Árabes y la dinastía Al Nahyan [ensayo]. </w:t>
      </w:r>
      <w:r>
        <w:rPr>
          <w:i/>
        </w:rPr>
        <w:t>Center for Global Affairs and Strategic Studies</w:t>
      </w:r>
      <w:r>
        <w:t xml:space="preserve">. Universidad de Navarra. </w:t>
      </w:r>
      <w:hyperlink r:id="rId8">
        <w:r>
          <w:rPr>
            <w:color w:val="1155CC"/>
            <w:u w:val="single" w:color="1155CC"/>
          </w:rPr>
          <w:t>https://tinyurl.com/yn29sc6j</w:t>
        </w:r>
      </w:hyperlink>
      <w:r>
        <w:t xml:space="preserve"> (recuperado el 08/07/24). </w:t>
      </w:r>
    </w:p>
    <w:p w:rsidR="00203371" w:rsidRDefault="00E749C4">
      <w:pPr>
        <w:ind w:left="715"/>
      </w:pPr>
      <w:r>
        <w:t xml:space="preserve">Vilaltella Ortiz, X. (2022 noviembre 11). Breve historia de Qatar, el país que pasó de presa colonial a potencia petrolera. </w:t>
      </w:r>
      <w:r>
        <w:rPr>
          <w:i/>
        </w:rPr>
        <w:t>La Vanguardia</w:t>
      </w:r>
      <w:r>
        <w:t xml:space="preserve">. </w:t>
      </w:r>
      <w:hyperlink r:id="rId9">
        <w:r>
          <w:rPr>
            <w:color w:val="1155CC"/>
            <w:u w:val="single" w:color="1155CC"/>
          </w:rPr>
          <w:t>https://tinyurl.com/y5h6mdh</w:t>
        </w:r>
      </w:hyperlink>
      <w:r>
        <w:t xml:space="preserve"> (recuperado el 08/07/24). </w:t>
      </w:r>
    </w:p>
    <w:p w:rsidR="00203371" w:rsidRDefault="00E749C4">
      <w:pPr>
        <w:ind w:left="715"/>
      </w:pPr>
      <w:r>
        <w:t xml:space="preserve">Méndez Barozzi, R. (2017). La creación del Emirato de Kuwait [ponencia]. </w:t>
      </w:r>
      <w:r>
        <w:rPr>
          <w:i/>
        </w:rPr>
        <w:t>XVI Jornadas Interescuelas / Departamentos de Historia</w:t>
      </w:r>
      <w:r>
        <w:t xml:space="preserve">. Universidad Nacional de Mar del Plata. </w:t>
      </w:r>
    </w:p>
    <w:p w:rsidR="00203371" w:rsidRDefault="00E749C4">
      <w:r>
        <w:rPr>
          <w:b/>
        </w:rPr>
        <w:t xml:space="preserve">UNIDAD 6: Identidades políticas </w:t>
      </w:r>
      <w:r>
        <w:rPr>
          <w:b/>
        </w:rPr>
        <w:t>en África del Norte.</w:t>
      </w:r>
      <w:r>
        <w:t xml:space="preserve"> La independencia de Marruecos y la cuestión del Sahara Occidental. La guerra de independencia de Argelia. Experiencias monárquicas en Libia y Túnez. El ascenso de Habib Bourghiba y Muammar Gaddafi.  </w:t>
      </w:r>
    </w:p>
    <w:p w:rsidR="00203371" w:rsidRDefault="00E749C4">
      <w:pPr>
        <w:ind w:left="715"/>
      </w:pPr>
      <w:r>
        <w:t xml:space="preserve">Carrión Molina, F. (2023 mayo 13). </w:t>
      </w:r>
      <w:r>
        <w:t xml:space="preserve">El hombre que quiere ser rey de Libia. </w:t>
      </w:r>
      <w:r>
        <w:rPr>
          <w:i/>
        </w:rPr>
        <w:t>El Independiente</w:t>
      </w:r>
      <w:r>
        <w:t xml:space="preserve">. </w:t>
      </w:r>
      <w:hyperlink r:id="rId10">
        <w:r>
          <w:rPr>
            <w:color w:val="1155CC"/>
            <w:u w:val="single" w:color="1155CC"/>
          </w:rPr>
          <w:t>https://tinyurl.com/y3ntekca</w:t>
        </w:r>
      </w:hyperlink>
      <w:r>
        <w:t xml:space="preserve"> (recuperado el 09/08/24) </w:t>
      </w:r>
    </w:p>
    <w:p w:rsidR="00203371" w:rsidRDefault="00E749C4">
      <w:pPr>
        <w:ind w:left="715"/>
      </w:pPr>
      <w:r>
        <w:t xml:space="preserve">Gilson Miller, S. (2015). </w:t>
      </w:r>
      <w:r>
        <w:rPr>
          <w:i/>
        </w:rPr>
        <w:t>Historia del Marruecos moderno</w:t>
      </w:r>
      <w:r>
        <w:t xml:space="preserve">. Caps. 5 y 6. Ed. Akal.  </w:t>
      </w:r>
    </w:p>
    <w:p w:rsidR="00203371" w:rsidRDefault="00E749C4">
      <w:pPr>
        <w:ind w:left="715"/>
      </w:pPr>
      <w:r>
        <w:t>Martos Quesad</w:t>
      </w:r>
      <w:r>
        <w:t xml:space="preserve">a, J. (2022). La independencia de Argelia y el proceso de arabización. </w:t>
      </w:r>
      <w:r>
        <w:rPr>
          <w:i/>
        </w:rPr>
        <w:t>Revista Argelina, 16</w:t>
      </w:r>
      <w:r>
        <w:t xml:space="preserve"> - pp. 77-94. </w:t>
      </w:r>
    </w:p>
    <w:p w:rsidR="00203371" w:rsidRDefault="00E749C4">
      <w:pPr>
        <w:ind w:left="715"/>
      </w:pPr>
      <w:r>
        <w:t xml:space="preserve">Mora, P. (s/f). Libia, cronología de un conflicto: del ascenso de Gadafi hasta hoy [ensayo]. </w:t>
      </w:r>
      <w:r>
        <w:rPr>
          <w:i/>
        </w:rPr>
        <w:t>Center for Global Affairs and Strategic Studies</w:t>
      </w:r>
      <w:r>
        <w:t>. Universi</w:t>
      </w:r>
      <w:r>
        <w:t xml:space="preserve">dad de Navarra. </w:t>
      </w:r>
      <w:hyperlink r:id="rId11">
        <w:r>
          <w:rPr>
            <w:color w:val="1155CC"/>
            <w:u w:val="single" w:color="1155CC"/>
          </w:rPr>
          <w:t>https://tinyurl.com/5vpk6zac</w:t>
        </w:r>
      </w:hyperlink>
      <w:r>
        <w:t xml:space="preserve"> (recuperado el 09/07/24). </w:t>
      </w:r>
    </w:p>
    <w:p w:rsidR="00203371" w:rsidRDefault="00E749C4">
      <w:pPr>
        <w:spacing w:after="190"/>
        <w:ind w:left="720" w:firstLine="0"/>
        <w:jc w:val="left"/>
      </w:pPr>
      <w:r>
        <w:t xml:space="preserve">Moya Mena, S. (2014). </w:t>
      </w:r>
      <w:r>
        <w:rPr>
          <w:i/>
        </w:rPr>
        <w:t>El islamismo en Túnez: de la independencia al renacer salafista</w:t>
      </w:r>
      <w:r>
        <w:t xml:space="preserve">. Cap. “Orígenes y desarrollo del islamismo en </w:t>
      </w:r>
      <w:r>
        <w:t xml:space="preserve">Túnez”. Ed. Universidad Nacional de Costa Rica. </w:t>
      </w:r>
    </w:p>
    <w:p w:rsidR="00203371" w:rsidRDefault="00E749C4">
      <w:r>
        <w:rPr>
          <w:b/>
        </w:rPr>
        <w:t>UNIDAD 7: El declive arabista y el ascenso del islam político.</w:t>
      </w:r>
      <w:r>
        <w:t xml:space="preserve"> Ciclos de politización: la crisis estructural del arabismo. Referentes del islam político. Principales aspectos de la corriente. Riqueza </w:t>
      </w:r>
      <w:r>
        <w:t xml:space="preserve">ideológica y popularidad.  </w:t>
      </w:r>
    </w:p>
    <w:p w:rsidR="00203371" w:rsidRDefault="00E749C4">
      <w:pPr>
        <w:ind w:left="715"/>
      </w:pPr>
      <w:r>
        <w:t xml:space="preserve">Izquierdo Brichs, F. y Etherington, J. (2013). De la revolución a la moderación: el largo camino del islam político. </w:t>
      </w:r>
      <w:r>
        <w:rPr>
          <w:u w:val="single" w:color="000000"/>
        </w:rPr>
        <w:t>En</w:t>
      </w:r>
      <w:r>
        <w:t xml:space="preserve"> Izquierdo Brichs, F., comp. (2013). </w:t>
      </w:r>
      <w:r>
        <w:rPr>
          <w:i/>
        </w:rPr>
        <w:t>El Islam político en el Mediterráneo: radiografía de una evolución</w:t>
      </w:r>
      <w:r>
        <w:t>. Barc</w:t>
      </w:r>
      <w:r>
        <w:t xml:space="preserve">elona Centre for International Affairs (CIDOB) - pp. 11-46. </w:t>
      </w:r>
    </w:p>
    <w:p w:rsidR="00203371" w:rsidRDefault="00E749C4">
      <w:pPr>
        <w:spacing w:after="185" w:line="302" w:lineRule="auto"/>
        <w:ind w:left="715" w:right="-9"/>
        <w:jc w:val="left"/>
      </w:pPr>
      <w:r>
        <w:t xml:space="preserve">Kepel, G. (1995). </w:t>
      </w:r>
      <w:r>
        <w:rPr>
          <w:i/>
        </w:rPr>
        <w:t>La revancha de Dios: cristianos, judíos y musulmanes a la reconquista del mundo</w:t>
      </w:r>
      <w:r>
        <w:t xml:space="preserve">. Cap. 1. Ed. Anaya. </w:t>
      </w:r>
    </w:p>
    <w:p w:rsidR="00203371" w:rsidRDefault="00E749C4">
      <w:r>
        <w:rPr>
          <w:b/>
        </w:rPr>
        <w:t>UNIDAD 8: La Revolución Islámica en Irán y el impacto regional.</w:t>
      </w:r>
      <w:r>
        <w:t xml:space="preserve"> Persia duran</w:t>
      </w:r>
      <w:r>
        <w:t>te la monarquía de los Pahlavi: gobiernos de los shahs Reza y Muhammad-Reza. Política de los Pilares Gemelos: Estados Unidos y las relaciones irano-sauditas hasta la Revolución Islámica. Fundamentos ideológicos de Ali Shariati y Ruhollah Khomeini. La Revol</w:t>
      </w:r>
      <w:r>
        <w:t xml:space="preserve">ución Islámica de 1979. Arabia Saudita y la creación del Consejo de Cooperación del Golfo (CCG). La guerra irano-iraquí. </w:t>
      </w:r>
    </w:p>
    <w:p w:rsidR="00203371" w:rsidRDefault="00E749C4">
      <w:pPr>
        <w:ind w:left="715"/>
      </w:pPr>
      <w:r>
        <w:t xml:space="preserve">Axworthy, M. (2010). </w:t>
      </w:r>
      <w:r>
        <w:rPr>
          <w:i/>
        </w:rPr>
        <w:t>Irán: una historia desde Zoroastro hasta hoy</w:t>
      </w:r>
      <w:r>
        <w:t xml:space="preserve">. Caps. 7 y 8. Ed. Turner. </w:t>
      </w:r>
    </w:p>
    <w:p w:rsidR="00203371" w:rsidRDefault="00E749C4">
      <w:pPr>
        <w:ind w:left="715"/>
      </w:pPr>
      <w:r>
        <w:t xml:space="preserve">Campanini, M. (2006). </w:t>
      </w:r>
      <w:r>
        <w:rPr>
          <w:i/>
        </w:rPr>
        <w:t>Historia de Oriente</w:t>
      </w:r>
      <w:r>
        <w:rPr>
          <w:i/>
        </w:rPr>
        <w:t xml:space="preserve"> Medio: de 1798 a nuestros días</w:t>
      </w:r>
      <w:r>
        <w:t xml:space="preserve">. Cap. 9. Ed. Antonio Machado.  </w:t>
      </w:r>
    </w:p>
    <w:p w:rsidR="00203371" w:rsidRDefault="00E749C4">
      <w:pPr>
        <w:ind w:left="715"/>
      </w:pPr>
      <w:r>
        <w:t xml:space="preserve">Fabani, O. (2010). El Consejo de Cooperación de Estados Árabes del Golfo: un análisis de su evolución a treinta años de su conformación [ponencia]. </w:t>
      </w:r>
      <w:r>
        <w:rPr>
          <w:i/>
        </w:rPr>
        <w:t>V Congreso de Relaciones Internacionales y V</w:t>
      </w:r>
      <w:r>
        <w:rPr>
          <w:i/>
        </w:rPr>
        <w:t>III Jornada de Medio Oriente</w:t>
      </w:r>
      <w:r>
        <w:t xml:space="preserve">. Universidad Nacional de La Plata. </w:t>
      </w:r>
    </w:p>
    <w:p w:rsidR="00203371" w:rsidRDefault="00E749C4">
      <w:pPr>
        <w:ind w:left="715"/>
      </w:pPr>
      <w:r>
        <w:t xml:space="preserve">Martín Muñoz, G. (2003). </w:t>
      </w:r>
      <w:r>
        <w:rPr>
          <w:i/>
        </w:rPr>
        <w:t>Iraq: un fracaso de Occidente.</w:t>
      </w:r>
      <w:r>
        <w:t xml:space="preserve"> Cap. “La primera guerra del Golfo: el reconocimiento internacional de Saddam Husein”. Ed. Tusquets. </w:t>
      </w:r>
    </w:p>
    <w:p w:rsidR="00203371" w:rsidRDefault="00E749C4">
      <w:pPr>
        <w:spacing w:after="0"/>
      </w:pPr>
      <w:r>
        <w:rPr>
          <w:b/>
        </w:rPr>
        <w:t>UNIDAD 9: La regionalización del c</w:t>
      </w:r>
      <w:r>
        <w:rPr>
          <w:b/>
        </w:rPr>
        <w:t>onflicto en el Líbano.</w:t>
      </w:r>
      <w:r>
        <w:t xml:space="preserve"> Guerra civil en el Líbano. Intervención militar de Siria. Invasiones israelíes de 1978 (“Operación Litani”) y 1982 (“Operación </w:t>
      </w:r>
    </w:p>
    <w:p w:rsidR="00203371" w:rsidRDefault="00E749C4">
      <w:r>
        <w:t>Paz para Galilea”). Las Fuerzas de Paz de Naciones Unidas para el Líbano (FPNUL). La Fuerza Multinacional</w:t>
      </w:r>
      <w:r>
        <w:t xml:space="preserve"> en el Líbano. Irán y la creación de Hezbolá. El proceso de paz de Taif, la invasión iraquí a Kuwait y el nuevo orden internacional. </w:t>
      </w:r>
    </w:p>
    <w:p w:rsidR="00203371" w:rsidRDefault="00E749C4">
      <w:pPr>
        <w:ind w:left="715"/>
      </w:pPr>
      <w:r>
        <w:t xml:space="preserve">Chaya, S. (2017). El proceso de institucionalización de Hezbolá (1975-2005). </w:t>
      </w:r>
      <w:r>
        <w:rPr>
          <w:i/>
        </w:rPr>
        <w:t>NEIBA - Cadernos Argentina-Brasil, 6</w:t>
      </w:r>
      <w:r>
        <w:t>(01) - pp</w:t>
      </w:r>
      <w:r>
        <w:t xml:space="preserve">. 1-9. </w:t>
      </w:r>
    </w:p>
    <w:p w:rsidR="00203371" w:rsidRDefault="00E749C4">
      <w:pPr>
        <w:ind w:left="715"/>
      </w:pPr>
      <w:r>
        <w:t xml:space="preserve">Chaya, S. (2018). El nacimiento de la II República Libanesa: entre el Acuerdo de Taif y la ocupación siria (1989-1992). </w:t>
      </w:r>
      <w:r>
        <w:rPr>
          <w:i/>
        </w:rPr>
        <w:t>Otro Sur, 6</w:t>
      </w:r>
      <w:r>
        <w:t xml:space="preserve">(05) - pp. 36-49. </w:t>
      </w:r>
    </w:p>
    <w:p w:rsidR="00203371" w:rsidRDefault="00E749C4">
      <w:pPr>
        <w:ind w:left="715"/>
      </w:pPr>
      <w:r>
        <w:t xml:space="preserve">Chaya, S. (2020). A veinte años de la retirada israelí del sur del Líbano. </w:t>
      </w:r>
      <w:r>
        <w:rPr>
          <w:i/>
        </w:rPr>
        <w:t>Opiniones en el IRI.</w:t>
      </w:r>
      <w:r>
        <w:t xml:space="preserve"> Un</w:t>
      </w:r>
      <w:r>
        <w:t xml:space="preserve">iversidad Nacional de La Plata. </w:t>
      </w:r>
    </w:p>
    <w:p w:rsidR="00203371" w:rsidRDefault="00E749C4">
      <w:pPr>
        <w:ind w:left="715"/>
      </w:pPr>
      <w:r>
        <w:t xml:space="preserve">Gómez Mansur, S. (2019). Elecciones, multiconfesionalidad y partidos políticos: un estudio de caso sobre las paradojas de la democracia libanesa [ponencia]. </w:t>
      </w:r>
      <w:r>
        <w:rPr>
          <w:i/>
        </w:rPr>
        <w:t>XIV Congreso Nacional de Ciencia Política</w:t>
      </w:r>
      <w:r>
        <w:t>. Universidad Nacional de</w:t>
      </w:r>
      <w:r>
        <w:t xml:space="preserve"> San Martín.  </w:t>
      </w:r>
    </w:p>
    <w:p w:rsidR="00203371" w:rsidRDefault="00E749C4">
      <w:pPr>
        <w:spacing w:after="185" w:line="302" w:lineRule="auto"/>
        <w:ind w:left="715" w:right="-9"/>
        <w:jc w:val="left"/>
      </w:pPr>
      <w:r>
        <w:t xml:space="preserve">Khalidi, R. (2023). </w:t>
      </w:r>
      <w:r>
        <w:rPr>
          <w:i/>
        </w:rPr>
        <w:t>Palestina: cien años de colonialismo y resistencia</w:t>
      </w:r>
      <w:r>
        <w:t xml:space="preserve">. Cap. 5. Ed. Capitán Swing. </w:t>
      </w:r>
    </w:p>
    <w:p w:rsidR="00203371" w:rsidRDefault="00E749C4">
      <w:pPr>
        <w:ind w:left="715"/>
      </w:pPr>
      <w:r>
        <w:t xml:space="preserve">Martín Muñoz, G. (2003). </w:t>
      </w:r>
      <w:r>
        <w:rPr>
          <w:i/>
        </w:rPr>
        <w:t>Iraq: un fracaso de Occidente.</w:t>
      </w:r>
      <w:r>
        <w:t xml:space="preserve"> Cap. “La segunda guerra del Golfo: caída en desgracia de Saddam Husein”. Ed. Tusquets</w:t>
      </w:r>
      <w:r>
        <w:t xml:space="preserve">. </w:t>
      </w:r>
    </w:p>
    <w:p w:rsidR="00203371" w:rsidRDefault="00E749C4">
      <w:r>
        <w:rPr>
          <w:b/>
        </w:rPr>
        <w:t>UNIDAD 10: El proceso de paz árabe-israelí.</w:t>
      </w:r>
      <w:r>
        <w:t xml:space="preserve"> La primera </w:t>
      </w:r>
      <w:r>
        <w:rPr>
          <w:i/>
        </w:rPr>
        <w:t>intifada</w:t>
      </w:r>
      <w:r>
        <w:t>, el surgimiento de Hamas, la Conferencia de Madrid y el proceso de paz árabe-israelí. Los Acuerdos de Oslo I y II. El acuerdo de paz jordano-israelí. El asesinato del primer ministro Yitzha</w:t>
      </w:r>
      <w:r>
        <w:t xml:space="preserve">k Rabin. El retiro de las tropas israelíes del Líbano en 2000. Reforma de las instituciones de la Autoridad Nacional Palestina. El estancamiento del proceso de paz: repaso de algunas propuestas fallidas. La muerte de Yasser Arafat y el quiebre entre Fatah </w:t>
      </w:r>
      <w:r>
        <w:t xml:space="preserve">y Hamas. </w:t>
      </w:r>
    </w:p>
    <w:p w:rsidR="00203371" w:rsidRDefault="00E749C4">
      <w:pPr>
        <w:ind w:left="715"/>
      </w:pPr>
      <w:r>
        <w:t xml:space="preserve">Botiveau, B. (2009). ¿“Estado Palestino”? ¿O “Solución de Dos Estados”? Crónica del período posterior a Oslo. </w:t>
      </w:r>
      <w:r>
        <w:rPr>
          <w:i/>
        </w:rPr>
        <w:t>Foro Internacional, 198</w:t>
      </w:r>
      <w:r>
        <w:t xml:space="preserve"> - pp. 804-831  </w:t>
      </w:r>
    </w:p>
    <w:p w:rsidR="00203371" w:rsidRDefault="00E749C4">
      <w:pPr>
        <w:spacing w:after="185" w:line="302" w:lineRule="auto"/>
        <w:ind w:left="715" w:right="-9"/>
        <w:jc w:val="left"/>
      </w:pPr>
      <w:r>
        <w:t xml:space="preserve">Kopel, E. (2022). </w:t>
      </w:r>
      <w:r>
        <w:rPr>
          <w:i/>
        </w:rPr>
        <w:t>La disputa por el control de Medio Oriente: un siglo de conflictos, del Imperi</w:t>
      </w:r>
      <w:r>
        <w:rPr>
          <w:i/>
        </w:rPr>
        <w:t>o otomano a la actualidad</w:t>
      </w:r>
      <w:r>
        <w:t xml:space="preserve">. Cap. 10. Ed. Capital Intelectual. </w:t>
      </w:r>
    </w:p>
    <w:p w:rsidR="00203371" w:rsidRDefault="00E749C4">
      <w:pPr>
        <w:spacing w:after="185" w:line="302" w:lineRule="auto"/>
        <w:ind w:left="715" w:right="-9"/>
        <w:jc w:val="left"/>
      </w:pPr>
      <w:r>
        <w:t xml:space="preserve">Pappé, I. (2007). </w:t>
      </w:r>
      <w:r>
        <w:rPr>
          <w:i/>
        </w:rPr>
        <w:t>Historia de la Palestina moderna: un territorio, dos pueblos.</w:t>
      </w:r>
      <w:r>
        <w:t xml:space="preserve"> Cap. 9. Ed. Akal. </w:t>
      </w:r>
    </w:p>
    <w:p w:rsidR="00203371" w:rsidRDefault="00E749C4">
      <w:r>
        <w:rPr>
          <w:b/>
        </w:rPr>
        <w:t>UNIDAD 11: Terrorismo y “Guerra contra el Terror”.</w:t>
      </w:r>
      <w:r>
        <w:t xml:space="preserve"> El 11-S y la “Guerra contra el Terror”. Inva</w:t>
      </w:r>
      <w:r>
        <w:t>siones a Afganistán e Irak. Nuevos actores transnacionales no estatales en la región: el caso de los grupos terroristas de inspiración islamista “Al-Qaeda” y el llamado “Estado Islámico”. Atentados de Madrid (2004) y de Londres (2005). El fenómeno de la is</w:t>
      </w:r>
      <w:r>
        <w:t xml:space="preserve">lamofobia en Europa. </w:t>
      </w:r>
    </w:p>
    <w:p w:rsidR="00203371" w:rsidRDefault="00E749C4">
      <w:pPr>
        <w:ind w:left="715"/>
      </w:pPr>
      <w:r>
        <w:t xml:space="preserve">Brieger, P. (2005). Al-Qaeda, un movimiento no tradicional. </w:t>
      </w:r>
      <w:r>
        <w:rPr>
          <w:i/>
        </w:rPr>
        <w:t>Relaciones Internacionales, 28</w:t>
      </w:r>
      <w:r>
        <w:t xml:space="preserve"> - pp. 37-47. </w:t>
      </w:r>
    </w:p>
    <w:p w:rsidR="00203371" w:rsidRDefault="00E749C4">
      <w:pPr>
        <w:ind w:left="715"/>
      </w:pPr>
      <w:r>
        <w:t xml:space="preserve">Cobo, P. (2015 enero 21). La agonía de Europa y el Islam. </w:t>
      </w:r>
      <w:r>
        <w:rPr>
          <w:i/>
        </w:rPr>
        <w:t xml:space="preserve">Foreign Affairs Latinoamérica. </w:t>
      </w:r>
      <w:hyperlink r:id="rId12">
        <w:r>
          <w:rPr>
            <w:color w:val="1155CC"/>
            <w:u w:val="single" w:color="1155CC"/>
          </w:rPr>
          <w:t>https://bit.ly/3WbSOnF</w:t>
        </w:r>
      </w:hyperlink>
      <w:r>
        <w:t xml:space="preserve"> (revisado el 06/07/24). </w:t>
      </w:r>
    </w:p>
    <w:p w:rsidR="00203371" w:rsidRDefault="00E749C4">
      <w:pPr>
        <w:ind w:left="715"/>
      </w:pPr>
      <w:r>
        <w:t xml:space="preserve">Cuadro, M. (2010). De enemigos reales y absolutos. El terrorismo y la política: la guerra global contra el terror y la despolitización del terrorismo. </w:t>
      </w:r>
      <w:r>
        <w:rPr>
          <w:i/>
        </w:rPr>
        <w:t xml:space="preserve">Relaciones </w:t>
      </w:r>
      <w:r>
        <w:rPr>
          <w:i/>
        </w:rPr>
        <w:t>Internacionales, 38</w:t>
      </w:r>
      <w:r>
        <w:t xml:space="preserve"> - pp. 103-124. </w:t>
      </w:r>
    </w:p>
    <w:p w:rsidR="00203371" w:rsidRDefault="00E749C4">
      <w:r>
        <w:rPr>
          <w:b/>
        </w:rPr>
        <w:t>UNIDAD 12: Turquía, entre el kemalismo y el islamismo.</w:t>
      </w:r>
      <w:r>
        <w:t xml:space="preserve"> Fundamentos de la doctrina kemalista. Turquía, entre la Organización del Tratado del Atlántico Norte (OTAN) y la Unión Europea. La llegada del Partido Justicia y Des</w:t>
      </w:r>
      <w:r>
        <w:t xml:space="preserve">arrollo (AKP) al poder. </w:t>
      </w:r>
    </w:p>
    <w:p w:rsidR="00203371" w:rsidRDefault="00E749C4">
      <w:pPr>
        <w:ind w:left="715"/>
      </w:pPr>
      <w:r>
        <w:t xml:space="preserve">Altunisik, M. (2011). La política exterior de Turquía en el siglo XXI. </w:t>
      </w:r>
      <w:r>
        <w:rPr>
          <w:i/>
        </w:rPr>
        <w:t>Anuario Internacional 2011</w:t>
      </w:r>
      <w:r>
        <w:t xml:space="preserve">. Barcelona Centre for International Affairs (CIDOB) - pp. 421-426 </w:t>
      </w:r>
    </w:p>
    <w:p w:rsidR="00203371" w:rsidRDefault="00E749C4">
      <w:pPr>
        <w:spacing w:after="0"/>
        <w:ind w:left="715"/>
      </w:pPr>
      <w:r>
        <w:t>Aranda Bustamante, G. y Karakaya, A. (2016). Nueva política exteri</w:t>
      </w:r>
      <w:r>
        <w:t xml:space="preserve">or turca: del reposicionamiento regional al re-alineamiento con Occidente. </w:t>
      </w:r>
      <w:r>
        <w:rPr>
          <w:u w:val="single" w:color="000000"/>
        </w:rPr>
        <w:t>En</w:t>
      </w:r>
      <w:r>
        <w:t xml:space="preserve"> González Levaggi, A. y </w:t>
      </w:r>
    </w:p>
    <w:p w:rsidR="00203371" w:rsidRDefault="00E749C4">
      <w:pPr>
        <w:ind w:left="715"/>
      </w:pPr>
      <w:r>
        <w:t xml:space="preserve">Ferrez, M., comps. (2016). </w:t>
      </w:r>
      <w:r>
        <w:rPr>
          <w:i/>
        </w:rPr>
        <w:t>Turquía - América Latina y el Caribe: una asociación emergente</w:t>
      </w:r>
      <w:r>
        <w:t xml:space="preserve">. Ed. Universidad Nacional de La Plata - pp. 75-125 </w:t>
      </w:r>
    </w:p>
    <w:p w:rsidR="00203371" w:rsidRDefault="00E749C4">
      <w:pPr>
        <w:ind w:left="715"/>
      </w:pPr>
      <w:r>
        <w:t>Taspinar, O.</w:t>
      </w:r>
      <w:r>
        <w:t xml:space="preserve"> (2009 junio 21). Entre neootomanismo y kemalismo. </w:t>
      </w:r>
      <w:r>
        <w:rPr>
          <w:i/>
        </w:rPr>
        <w:t>Política Exterior: Suplemento Afkar-Ideas, 22</w:t>
      </w:r>
      <w:r>
        <w:t xml:space="preserve">. </w:t>
      </w:r>
      <w:hyperlink r:id="rId13">
        <w:r>
          <w:rPr>
            <w:color w:val="1155CC"/>
            <w:u w:val="single" w:color="1155CC"/>
          </w:rPr>
          <w:t>https://tinyurl.com/2ta5r4kr</w:t>
        </w:r>
      </w:hyperlink>
      <w:r>
        <w:t xml:space="preserve"> (revisado el 08/07/24). </w:t>
      </w:r>
    </w:p>
    <w:p w:rsidR="00203371" w:rsidRDefault="00E749C4">
      <w:r>
        <w:rPr>
          <w:b/>
        </w:rPr>
        <w:t>UNIDAD 13: La “Primavera Árabe”.</w:t>
      </w:r>
      <w:r>
        <w:t xml:space="preserve"> Procesos de rebelión po</w:t>
      </w:r>
      <w:r>
        <w:t xml:space="preserve">pular en la región de Medio Oriente: el fenómeno de la llamada “Primavera Árabe”. Cambios en Túnez. Interrupción de las transformaciones en Egipto. Otros escenarios de contención. Evolución de los teatros de guerra en Siria, Libia y Yemen. </w:t>
      </w:r>
    </w:p>
    <w:p w:rsidR="00203371" w:rsidRDefault="00E749C4">
      <w:pPr>
        <w:ind w:left="715"/>
      </w:pPr>
      <w:r>
        <w:t>Álvarez Ossorio</w:t>
      </w:r>
      <w:r>
        <w:t xml:space="preserve">, I. (2016 enero 25). La fallida revolución egipcia. </w:t>
      </w:r>
      <w:r>
        <w:rPr>
          <w:i/>
        </w:rPr>
        <w:t>El País</w:t>
      </w:r>
      <w:r>
        <w:t xml:space="preserve">. </w:t>
      </w:r>
      <w:hyperlink r:id="rId14">
        <w:r>
          <w:rPr>
            <w:color w:val="1155CC"/>
            <w:u w:val="single" w:color="1155CC"/>
          </w:rPr>
          <w:t>https://bit.ly/3XSJtCI</w:t>
        </w:r>
      </w:hyperlink>
      <w:r>
        <w:t xml:space="preserve"> (revisado el 06/07/24). </w:t>
      </w:r>
    </w:p>
    <w:p w:rsidR="00203371" w:rsidRDefault="00E749C4">
      <w:pPr>
        <w:spacing w:after="185" w:line="302" w:lineRule="auto"/>
        <w:ind w:left="715" w:right="-9"/>
        <w:jc w:val="left"/>
      </w:pPr>
      <w:r>
        <w:t xml:space="preserve">Ayestaran, M. (2017). </w:t>
      </w:r>
      <w:r>
        <w:rPr>
          <w:i/>
        </w:rPr>
        <w:t>Oriente Medio, Oriente roto: tras las huellas de una herida abierta</w:t>
      </w:r>
      <w:r>
        <w:t xml:space="preserve">. Caps. 6 y 7. </w:t>
      </w:r>
      <w:r>
        <w:t xml:space="preserve">Ed. Planeta.  </w:t>
      </w:r>
    </w:p>
    <w:p w:rsidR="00203371" w:rsidRDefault="00E749C4">
      <w:pPr>
        <w:ind w:left="715"/>
      </w:pPr>
      <w:r>
        <w:t xml:space="preserve">Conde, G. (2013). Las revoluciones árabes de 2011 y su significado histórico. </w:t>
      </w:r>
      <w:r>
        <w:rPr>
          <w:i/>
        </w:rPr>
        <w:t>Boletín Editorial del Colegio de México, 161</w:t>
      </w:r>
      <w:r>
        <w:t xml:space="preserve"> - pp. 3-6 </w:t>
      </w:r>
    </w:p>
    <w:p w:rsidR="00203371" w:rsidRDefault="00E749C4">
      <w:pPr>
        <w:ind w:left="715"/>
      </w:pPr>
      <w:r>
        <w:t>Derghougassian, K. (2011). Las revueltas árabes árabes: entre el empoderamiento de los ciudadanos y la tram</w:t>
      </w:r>
      <w:r>
        <w:t xml:space="preserve">pas de las fracturas tribales y sectarias. </w:t>
      </w:r>
      <w:r>
        <w:rPr>
          <w:i/>
        </w:rPr>
        <w:t>Revista de la Bolsa de Comercio de Rosario, 1514</w:t>
      </w:r>
      <w:r>
        <w:t xml:space="preserve"> - pp. 6-12 </w:t>
      </w:r>
    </w:p>
    <w:p w:rsidR="00203371" w:rsidRDefault="00E749C4">
      <w:pPr>
        <w:ind w:left="715"/>
      </w:pPr>
      <w:r>
        <w:t xml:space="preserve">González Quijano, Y. (2011). Las revueltas árabes en tiempos de transición digital: mitos y realidades. </w:t>
      </w:r>
      <w:r>
        <w:rPr>
          <w:i/>
        </w:rPr>
        <w:t>Nueva Sociedad</w:t>
      </w:r>
      <w:r>
        <w:t xml:space="preserve">. </w:t>
      </w:r>
      <w:hyperlink r:id="rId15">
        <w:r>
          <w:rPr>
            <w:color w:val="1155CC"/>
            <w:u w:val="single" w:color="1155CC"/>
          </w:rPr>
          <w:t>https://bit.ly/3WbT8mn</w:t>
        </w:r>
      </w:hyperlink>
      <w:r>
        <w:t xml:space="preserve"> (revisado el 06/07/24). </w:t>
      </w:r>
    </w:p>
    <w:p w:rsidR="00203371" w:rsidRDefault="00E749C4">
      <w:pPr>
        <w:ind w:left="715"/>
      </w:pPr>
      <w:r>
        <w:t xml:space="preserve">Gutiérrez de Terán, I. (2012). La revuelta libia y las incógnitas de la transición. </w:t>
      </w:r>
      <w:r>
        <w:rPr>
          <w:i/>
        </w:rPr>
        <w:t>Página Abierta, 218</w:t>
      </w:r>
      <w:r>
        <w:t xml:space="preserve">. </w:t>
      </w:r>
      <w:hyperlink r:id="rId16">
        <w:r>
          <w:rPr>
            <w:color w:val="1155CC"/>
            <w:u w:val="single" w:color="1155CC"/>
          </w:rPr>
          <w:t>https://bit.ly/3XZtSkV</w:t>
        </w:r>
      </w:hyperlink>
      <w:r>
        <w:t xml:space="preserve"> (revisado el 07/07/24). </w:t>
      </w:r>
    </w:p>
    <w:p w:rsidR="00203371" w:rsidRDefault="00E749C4">
      <w:pPr>
        <w:spacing w:after="215"/>
        <w:ind w:left="715"/>
      </w:pPr>
      <w:r>
        <w:t>Ham</w:t>
      </w:r>
      <w:r>
        <w:t xml:space="preserve">ad Zahonero, L. y Gutiérrez de Terán, I. (2015). Conflicto militar y acciones terroristas en Yemen. </w:t>
      </w:r>
      <w:r>
        <w:rPr>
          <w:i/>
        </w:rPr>
        <w:t>Documento de Investigación del Instituto Español de Estudios Estratégicos (IEEE), 07/15</w:t>
      </w:r>
      <w:r>
        <w:t xml:space="preserve">. </w:t>
      </w:r>
    </w:p>
    <w:p w:rsidR="00203371" w:rsidRDefault="00E749C4">
      <w:pPr>
        <w:ind w:left="715"/>
      </w:pPr>
      <w:r>
        <w:t>Pérez Beltrán, C. (2012). Las revueltas árabes de 2011: factores d</w:t>
      </w:r>
      <w:r>
        <w:t xml:space="preserve">eterminantes. </w:t>
      </w:r>
      <w:r>
        <w:rPr>
          <w:i/>
        </w:rPr>
        <w:t>Espacios Públicos, 15</w:t>
      </w:r>
      <w:r>
        <w:t xml:space="preserve">(33) - pp. 35-55. </w:t>
      </w:r>
    </w:p>
    <w:p w:rsidR="00203371" w:rsidRDefault="00E749C4">
      <w:pPr>
        <w:ind w:left="715"/>
      </w:pPr>
      <w:r>
        <w:t xml:space="preserve">Shmite, S. y Nin, M. (2018). Libia, un Estado fragmentado: la territorialización de las disputas de poder multiescalares [ponencia]. </w:t>
      </w:r>
      <w:r>
        <w:rPr>
          <w:i/>
        </w:rPr>
        <w:t xml:space="preserve">I Jornadas Platenses de Geografía y XX Jornadas de Investigación y </w:t>
      </w:r>
      <w:r>
        <w:rPr>
          <w:i/>
        </w:rPr>
        <w:t>Enseñanza de la Geografía</w:t>
      </w:r>
      <w:r>
        <w:t xml:space="preserve">. Universidad Nacional de La Plata. </w:t>
      </w:r>
    </w:p>
    <w:p w:rsidR="00203371" w:rsidRDefault="00E749C4">
      <w:r>
        <w:rPr>
          <w:b/>
        </w:rPr>
        <w:t xml:space="preserve">UNIDAD 14: Coyunturas recientes en una región convulsionada. </w:t>
      </w:r>
      <w:r>
        <w:t>Inestabilidad en el Líbano: La “Revolución del Cedro” y la salida de las tropas sirias del Líbano en 2005. La guerra de julio de 2006</w:t>
      </w:r>
      <w:r>
        <w:t>. La crisis económica de 2019 y la explosión del puerto de Beirut (2020). Ensayos en torno a la capacidad nuclear iraní. El caso “Khashoggi”. Las relaciones irano-sauditas. Alzamiento en Argelia. La guerra en Sudán: la partición de Sudán y la rebelión de 2</w:t>
      </w:r>
      <w:r>
        <w:t xml:space="preserve">019. Actualidad del conflicto árabe-israelí: los Acuerdos de Abraham, el Memorándum Irano-Saudita y la guerra de Gaza. </w:t>
      </w:r>
    </w:p>
    <w:p w:rsidR="00203371" w:rsidRDefault="00E749C4">
      <w:pPr>
        <w:ind w:left="715"/>
      </w:pPr>
      <w:r>
        <w:t xml:space="preserve">Domínguez de Olazábal, I. y González, E. (2019 septiembre 01). Protestas en Sudán y Argelia. </w:t>
      </w:r>
      <w:r>
        <w:rPr>
          <w:i/>
        </w:rPr>
        <w:t>Política Exterior, 191</w:t>
      </w:r>
      <w:r>
        <w:t xml:space="preserve">. </w:t>
      </w:r>
      <w:hyperlink r:id="rId17">
        <w:r>
          <w:rPr>
            <w:color w:val="1155CC"/>
            <w:u w:val="single" w:color="1155CC"/>
          </w:rPr>
          <w:t>https://bit.ly/4cM9J5M</w:t>
        </w:r>
      </w:hyperlink>
      <w:r>
        <w:t xml:space="preserve"> (revisado el 06/07/24). </w:t>
      </w:r>
    </w:p>
    <w:p w:rsidR="00203371" w:rsidRDefault="00E749C4">
      <w:pPr>
        <w:spacing w:after="5"/>
        <w:ind w:left="715"/>
      </w:pPr>
      <w:r>
        <w:t xml:space="preserve">Quinteros, E. (2024). La diplomacia nuclear y su influencia en el equilibrio de poderes en Medio Oriente: Irán, Israel y el JCPOA. </w:t>
      </w:r>
      <w:r>
        <w:rPr>
          <w:i/>
        </w:rPr>
        <w:t>Cuadernos de Política Exterior Argentina, 139</w:t>
      </w:r>
      <w:r>
        <w:t xml:space="preserve"> - pp. </w:t>
      </w:r>
    </w:p>
    <w:p w:rsidR="00203371" w:rsidRDefault="00E749C4">
      <w:pPr>
        <w:ind w:left="715"/>
      </w:pPr>
      <w:r>
        <w:t>1</w:t>
      </w:r>
      <w:r>
        <w:t xml:space="preserve">16-153 </w:t>
      </w:r>
    </w:p>
    <w:p w:rsidR="00203371" w:rsidRDefault="00E749C4">
      <w:pPr>
        <w:ind w:left="715"/>
      </w:pPr>
      <w:r>
        <w:t xml:space="preserve">Rodríguez, J. (2020 agosto 03). El acuerdo del siglo. </w:t>
      </w:r>
      <w:r>
        <w:rPr>
          <w:i/>
        </w:rPr>
        <w:t>Foreign Affairs Latinoamérica</w:t>
      </w:r>
      <w:r>
        <w:t xml:space="preserve">. </w:t>
      </w:r>
      <w:hyperlink r:id="rId18">
        <w:r>
          <w:rPr>
            <w:color w:val="1155CC"/>
            <w:u w:val="single" w:color="1155CC"/>
          </w:rPr>
          <w:t>https://bit.ly/45RJrwN</w:t>
        </w:r>
      </w:hyperlink>
      <w:r>
        <w:t xml:space="preserve"> (revisado el 06/07/24), </w:t>
      </w:r>
    </w:p>
    <w:p w:rsidR="00203371" w:rsidRDefault="00E749C4">
      <w:pPr>
        <w:ind w:left="715"/>
      </w:pPr>
      <w:r>
        <w:t>Thieux, L. (2019 junio 11). Levantamiento contra el sistema político arge</w:t>
      </w:r>
      <w:r>
        <w:t xml:space="preserve">lino. </w:t>
      </w:r>
      <w:r>
        <w:rPr>
          <w:i/>
        </w:rPr>
        <w:t>Política Exterior: Suplemento Afkar-Ideas, 59</w:t>
      </w:r>
      <w:r>
        <w:t xml:space="preserve">. </w:t>
      </w:r>
      <w:hyperlink r:id="rId19">
        <w:r>
          <w:rPr>
            <w:color w:val="1155CC"/>
            <w:u w:val="single" w:color="1155CC"/>
          </w:rPr>
          <w:t>https://bit.ly/4cvnXZ8</w:t>
        </w:r>
      </w:hyperlink>
      <w:r>
        <w:t xml:space="preserve"> (revisado el 06/07/24). </w:t>
      </w:r>
    </w:p>
    <w:p w:rsidR="00203371" w:rsidRDefault="00E749C4">
      <w:pPr>
        <w:spacing w:after="37" w:line="259" w:lineRule="auto"/>
        <w:ind w:left="0" w:right="14" w:firstLine="0"/>
        <w:jc w:val="right"/>
      </w:pPr>
      <w:r>
        <w:t xml:space="preserve">Waltz, K. (2013 junio 01). ¿Por qué Irán debe tener la bomba? </w:t>
      </w:r>
      <w:r>
        <w:rPr>
          <w:i/>
        </w:rPr>
        <w:t xml:space="preserve">Foreign Affairs </w:t>
      </w:r>
    </w:p>
    <w:p w:rsidR="00203371" w:rsidRDefault="00E749C4">
      <w:pPr>
        <w:spacing w:after="231" w:line="259" w:lineRule="auto"/>
        <w:ind w:left="720" w:firstLine="0"/>
        <w:jc w:val="left"/>
      </w:pPr>
      <w:r>
        <w:rPr>
          <w:i/>
        </w:rPr>
        <w:t xml:space="preserve">Latinoamérica. </w:t>
      </w:r>
      <w:hyperlink r:id="rId20">
        <w:r>
          <w:rPr>
            <w:color w:val="1155CC"/>
            <w:u w:val="single" w:color="1155CC"/>
          </w:rPr>
          <w:t>https://bit.ly/4cvppKX</w:t>
        </w:r>
      </w:hyperlink>
      <w:r>
        <w:t xml:space="preserve"> (revisado el 06/07/24) </w:t>
      </w:r>
    </w:p>
    <w:p w:rsidR="00203371" w:rsidRDefault="00E749C4">
      <w:pPr>
        <w:spacing w:after="0" w:line="259" w:lineRule="auto"/>
        <w:ind w:left="0" w:firstLine="0"/>
        <w:jc w:val="left"/>
      </w:pPr>
      <w:r>
        <w:rPr>
          <w:sz w:val="22"/>
        </w:rPr>
        <w:t xml:space="preserve"> </w:t>
      </w:r>
    </w:p>
    <w:p w:rsidR="00203371" w:rsidRDefault="00E749C4">
      <w:pPr>
        <w:numPr>
          <w:ilvl w:val="0"/>
          <w:numId w:val="3"/>
        </w:numPr>
        <w:spacing w:after="179" w:line="265" w:lineRule="auto"/>
        <w:ind w:hanging="360"/>
        <w:jc w:val="left"/>
      </w:pPr>
      <w:r>
        <w:rPr>
          <w:b/>
          <w:sz w:val="22"/>
        </w:rPr>
        <w:t>RECURSOS METODOLÓGICOS</w:t>
      </w:r>
      <w:r>
        <w:rPr>
          <w:sz w:val="22"/>
        </w:rPr>
        <w:t xml:space="preserve">: </w:t>
      </w:r>
    </w:p>
    <w:p w:rsidR="00203371" w:rsidRDefault="00E749C4">
      <w:r>
        <w:t>En lo cotidiano, la materia se propone llevar adelante clases teórico-prácticas, contando con la participación activa de los alumnos. Junto co</w:t>
      </w:r>
      <w:r>
        <w:t>n ello, y en la medida en que el desarrollo curricular lo permita, se realizarán análisis de noticias, cuestionarios con lecturas especiales, debates temáticos, elaboración de columnas, simulaciones, etc.</w:t>
      </w:r>
      <w:r>
        <w:rPr>
          <w:sz w:val="22"/>
        </w:rPr>
        <w:t xml:space="preserve"> </w:t>
      </w:r>
    </w:p>
    <w:p w:rsidR="00203371" w:rsidRDefault="00E749C4">
      <w:pPr>
        <w:spacing w:after="0" w:line="259" w:lineRule="auto"/>
        <w:ind w:left="0" w:firstLine="0"/>
        <w:jc w:val="left"/>
      </w:pPr>
      <w:r>
        <w:rPr>
          <w:sz w:val="22"/>
        </w:rPr>
        <w:t xml:space="preserve"> </w:t>
      </w:r>
    </w:p>
    <w:p w:rsidR="00203371" w:rsidRDefault="00E749C4">
      <w:pPr>
        <w:numPr>
          <w:ilvl w:val="0"/>
          <w:numId w:val="3"/>
        </w:numPr>
        <w:spacing w:after="179" w:line="265" w:lineRule="auto"/>
        <w:ind w:hanging="360"/>
        <w:jc w:val="left"/>
      </w:pPr>
      <w:r>
        <w:rPr>
          <w:b/>
          <w:sz w:val="22"/>
        </w:rPr>
        <w:t>CRITERIOS E INSTRUMENTOS DE EVALUACIÓN PARCIAL:</w:t>
      </w:r>
      <w:r>
        <w:rPr>
          <w:sz w:val="22"/>
        </w:rPr>
        <w:t xml:space="preserve"> </w:t>
      </w:r>
    </w:p>
    <w:p w:rsidR="00203371" w:rsidRDefault="00E749C4">
      <w:r>
        <w:t>Para la regularización de la materia, junto con la asistencia requerida del 75% y la participación en clases, el alumno tendrá que aprobar con al menos 4 (cuatro) el parcial o su recuperatorio. Estas instancias evaluativas serán presenciales, individuales</w:t>
      </w:r>
      <w:r>
        <w:t xml:space="preserve"> y escritas.</w:t>
      </w:r>
      <w:r>
        <w:rPr>
          <w:b/>
          <w:sz w:val="22"/>
        </w:rPr>
        <w:t xml:space="preserve"> </w:t>
      </w:r>
    </w:p>
    <w:p w:rsidR="00203371" w:rsidRDefault="00E749C4">
      <w:pPr>
        <w:spacing w:after="0" w:line="259" w:lineRule="auto"/>
        <w:ind w:left="0" w:firstLine="0"/>
        <w:jc w:val="left"/>
      </w:pPr>
      <w:r>
        <w:rPr>
          <w:sz w:val="22"/>
        </w:rPr>
        <w:t xml:space="preserve"> </w:t>
      </w:r>
    </w:p>
    <w:p w:rsidR="00203371" w:rsidRDefault="00E749C4">
      <w:pPr>
        <w:numPr>
          <w:ilvl w:val="0"/>
          <w:numId w:val="3"/>
        </w:numPr>
        <w:spacing w:after="179" w:line="265" w:lineRule="auto"/>
        <w:ind w:hanging="360"/>
        <w:jc w:val="left"/>
      </w:pPr>
      <w:r>
        <w:rPr>
          <w:b/>
          <w:sz w:val="22"/>
        </w:rPr>
        <w:t xml:space="preserve">RÉGIMEN DE EVALUACIÓN FINAL Y APROBACIÓN DE LA MATERIA: </w:t>
      </w:r>
    </w:p>
    <w:p w:rsidR="00203371" w:rsidRDefault="00E749C4">
      <w:r>
        <w:t>La regularización habilita al alumno a rendir el examen final, donde debe obtener al menos 4 (cuatro) para aprobar el espacio curricular. Este examen será presencial, individual y esc</w:t>
      </w:r>
      <w:r>
        <w:t>rito. Además, los alumnos podrán acogerse a la promoción de la materia sin examen final. Para ello, deberán obtener, junto a las condiciones mínimas de asistencia y participación, un 7 (siete) en el examen parcial o su recuperatorio. Finalmente, los alumno</w:t>
      </w:r>
      <w:r>
        <w:t xml:space="preserve">s que estén inscritos bajo la modalidad optativa, también llamada “horas de práctica”, deben rendir y aprobar el parcial y otras instancias prácticas que se dispongan, pero de ninguna forma rinden el examen final. </w:t>
      </w:r>
    </w:p>
    <w:p w:rsidR="00203371" w:rsidRDefault="00E749C4">
      <w:r>
        <w:t>Tanto para las evaluaciones parciales com</w:t>
      </w:r>
      <w:r>
        <w:t xml:space="preserve">o para las finales, un 4 (cuatro) es equivalente a por lo menos el 50% de los contenidos evaluados, por lo que, siguiendo la progresión geométrica, el baremo de calificaciones se comportará de la siguiente manera: </w:t>
      </w:r>
    </w:p>
    <w:p w:rsidR="00203371" w:rsidRDefault="00E749C4">
      <w:pPr>
        <w:spacing w:after="0" w:line="259" w:lineRule="auto"/>
        <w:ind w:left="0" w:firstLine="0"/>
        <w:jc w:val="left"/>
      </w:pPr>
      <w:r>
        <w:rPr>
          <w:sz w:val="22"/>
        </w:rPr>
        <w:t xml:space="preserve"> </w:t>
      </w:r>
    </w:p>
    <w:tbl>
      <w:tblPr>
        <w:tblStyle w:val="TableGrid"/>
        <w:tblW w:w="6760" w:type="dxa"/>
        <w:tblInd w:w="-4" w:type="dxa"/>
        <w:tblCellMar>
          <w:top w:w="13" w:type="dxa"/>
          <w:left w:w="115" w:type="dxa"/>
          <w:bottom w:w="0" w:type="dxa"/>
          <w:right w:w="47" w:type="dxa"/>
        </w:tblCellMar>
        <w:tblLook w:val="04A0" w:firstRow="1" w:lastRow="0" w:firstColumn="1" w:lastColumn="0" w:noHBand="0" w:noVBand="1"/>
      </w:tblPr>
      <w:tblGrid>
        <w:gridCol w:w="1240"/>
        <w:gridCol w:w="1280"/>
        <w:gridCol w:w="2120"/>
        <w:gridCol w:w="2120"/>
      </w:tblGrid>
      <w:tr w:rsidR="00203371">
        <w:trPr>
          <w:trHeight w:val="480"/>
        </w:trPr>
        <w:tc>
          <w:tcPr>
            <w:tcW w:w="12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13" w:firstLine="0"/>
              <w:jc w:val="left"/>
            </w:pPr>
            <w:r>
              <w:rPr>
                <w:b/>
                <w:sz w:val="22"/>
              </w:rPr>
              <w:t xml:space="preserve">porcentaje </w:t>
            </w:r>
          </w:p>
        </w:tc>
        <w:tc>
          <w:tcPr>
            <w:tcW w:w="128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0" w:firstLine="0"/>
              <w:jc w:val="left"/>
            </w:pPr>
            <w:r>
              <w:rPr>
                <w:b/>
                <w:sz w:val="22"/>
              </w:rPr>
              <w:t xml:space="preserve">calificación </w:t>
            </w:r>
          </w:p>
        </w:tc>
        <w:tc>
          <w:tcPr>
            <w:tcW w:w="424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0" w:right="69" w:firstLine="0"/>
              <w:jc w:val="center"/>
            </w:pPr>
            <w:r>
              <w:rPr>
                <w:b/>
                <w:sz w:val="22"/>
              </w:rPr>
              <w:t xml:space="preserve">equivalente </w:t>
            </w:r>
          </w:p>
        </w:tc>
      </w:tr>
      <w:tr w:rsidR="00203371">
        <w:trPr>
          <w:trHeight w:val="482"/>
        </w:trPr>
        <w:tc>
          <w:tcPr>
            <w:tcW w:w="124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56" w:firstLine="0"/>
              <w:jc w:val="left"/>
            </w:pPr>
            <w:r>
              <w:rPr>
                <w:sz w:val="22"/>
              </w:rPr>
              <w:t xml:space="preserve">hasta 19% </w:t>
            </w:r>
          </w:p>
        </w:tc>
        <w:tc>
          <w:tcPr>
            <w:tcW w:w="128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1 (uno) </w:t>
            </w:r>
          </w:p>
        </w:tc>
        <w:tc>
          <w:tcPr>
            <w:tcW w:w="212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65" w:firstLine="0"/>
              <w:jc w:val="center"/>
            </w:pPr>
            <w:r>
              <w:rPr>
                <w:sz w:val="22"/>
              </w:rPr>
              <w:t xml:space="preserve">mal desempeño </w:t>
            </w:r>
          </w:p>
        </w:tc>
        <w:tc>
          <w:tcPr>
            <w:tcW w:w="212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74" w:firstLine="0"/>
              <w:jc w:val="center"/>
            </w:pPr>
            <w:r>
              <w:rPr>
                <w:i/>
                <w:sz w:val="22"/>
              </w:rPr>
              <w:t xml:space="preserve">sub omni canone </w:t>
            </w:r>
          </w:p>
        </w:tc>
      </w:tr>
      <w:tr w:rsidR="00203371">
        <w:trPr>
          <w:trHeight w:val="480"/>
        </w:trPr>
        <w:tc>
          <w:tcPr>
            <w:tcW w:w="124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20-35% </w:t>
            </w:r>
          </w:p>
        </w:tc>
        <w:tc>
          <w:tcPr>
            <w:tcW w:w="128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2 (dos) </w:t>
            </w:r>
          </w:p>
        </w:tc>
        <w:tc>
          <w:tcPr>
            <w:tcW w:w="2120" w:type="dxa"/>
            <w:vMerge w:val="restart"/>
            <w:tcBorders>
              <w:top w:val="single" w:sz="8" w:space="0" w:color="000000"/>
              <w:left w:val="single" w:sz="8" w:space="0" w:color="000000"/>
              <w:bottom w:val="nil"/>
              <w:right w:val="single" w:sz="8" w:space="0" w:color="000000"/>
            </w:tcBorders>
            <w:vAlign w:val="bottom"/>
          </w:tcPr>
          <w:p w:rsidR="00203371" w:rsidRDefault="00E749C4">
            <w:pPr>
              <w:spacing w:after="0" w:line="259" w:lineRule="auto"/>
              <w:ind w:left="0" w:right="10" w:firstLine="0"/>
              <w:jc w:val="center"/>
            </w:pPr>
            <w:r>
              <w:rPr>
                <w:sz w:val="22"/>
              </w:rPr>
              <w:t xml:space="preserve"> </w:t>
            </w:r>
          </w:p>
          <w:p w:rsidR="00203371" w:rsidRDefault="00E749C4">
            <w:pPr>
              <w:spacing w:after="0" w:line="259" w:lineRule="auto"/>
              <w:ind w:left="0" w:right="65" w:firstLine="0"/>
              <w:jc w:val="center"/>
            </w:pPr>
            <w:r>
              <w:rPr>
                <w:sz w:val="22"/>
              </w:rPr>
              <w:t xml:space="preserve">insuficiente </w:t>
            </w:r>
          </w:p>
        </w:tc>
        <w:tc>
          <w:tcPr>
            <w:tcW w:w="2120" w:type="dxa"/>
            <w:vMerge w:val="restart"/>
            <w:tcBorders>
              <w:top w:val="single" w:sz="8" w:space="0" w:color="000000"/>
              <w:left w:val="single" w:sz="8" w:space="0" w:color="000000"/>
              <w:bottom w:val="nil"/>
              <w:right w:val="single" w:sz="8" w:space="0" w:color="000000"/>
            </w:tcBorders>
            <w:vAlign w:val="bottom"/>
          </w:tcPr>
          <w:p w:rsidR="00203371" w:rsidRDefault="00E749C4">
            <w:pPr>
              <w:spacing w:after="0" w:line="259" w:lineRule="auto"/>
              <w:ind w:left="0" w:right="19" w:firstLine="0"/>
              <w:jc w:val="center"/>
            </w:pPr>
            <w:r>
              <w:rPr>
                <w:i/>
                <w:sz w:val="22"/>
              </w:rPr>
              <w:t xml:space="preserve"> </w:t>
            </w:r>
          </w:p>
          <w:p w:rsidR="00203371" w:rsidRDefault="00E749C4">
            <w:pPr>
              <w:spacing w:after="0" w:line="259" w:lineRule="auto"/>
              <w:ind w:left="0" w:right="74" w:firstLine="0"/>
              <w:jc w:val="center"/>
            </w:pPr>
            <w:r>
              <w:rPr>
                <w:i/>
                <w:sz w:val="22"/>
              </w:rPr>
              <w:t xml:space="preserve">non sufficit </w:t>
            </w:r>
          </w:p>
        </w:tc>
      </w:tr>
      <w:tr w:rsidR="00203371">
        <w:trPr>
          <w:trHeight w:val="151"/>
        </w:trPr>
        <w:tc>
          <w:tcPr>
            <w:tcW w:w="1240" w:type="dxa"/>
            <w:tcBorders>
              <w:top w:val="single" w:sz="8" w:space="0" w:color="000000"/>
              <w:left w:val="single" w:sz="8" w:space="0" w:color="000000"/>
              <w:bottom w:val="nil"/>
              <w:right w:val="single" w:sz="8" w:space="0" w:color="000000"/>
            </w:tcBorders>
          </w:tcPr>
          <w:p w:rsidR="00203371" w:rsidRDefault="00203371">
            <w:pPr>
              <w:spacing w:after="160" w:line="259" w:lineRule="auto"/>
              <w:ind w:left="0" w:firstLine="0"/>
              <w:jc w:val="left"/>
            </w:pPr>
          </w:p>
        </w:tc>
        <w:tc>
          <w:tcPr>
            <w:tcW w:w="1280" w:type="dxa"/>
            <w:tcBorders>
              <w:top w:val="single" w:sz="8" w:space="0" w:color="000000"/>
              <w:left w:val="single" w:sz="8" w:space="0" w:color="000000"/>
              <w:bottom w:val="nil"/>
              <w:right w:val="single" w:sz="8" w:space="0" w:color="000000"/>
            </w:tcBorders>
          </w:tcPr>
          <w:p w:rsidR="00203371" w:rsidRDefault="00203371">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rsidR="00203371" w:rsidRDefault="00203371">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rsidR="00203371" w:rsidRDefault="00203371">
            <w:pPr>
              <w:spacing w:after="160" w:line="259" w:lineRule="auto"/>
              <w:ind w:left="0" w:firstLine="0"/>
              <w:jc w:val="left"/>
            </w:pPr>
          </w:p>
        </w:tc>
      </w:tr>
      <w:tr w:rsidR="00203371">
        <w:trPr>
          <w:trHeight w:val="329"/>
        </w:trPr>
        <w:tc>
          <w:tcPr>
            <w:tcW w:w="1240" w:type="dxa"/>
            <w:tcBorders>
              <w:top w:val="nil"/>
              <w:left w:val="single" w:sz="8" w:space="0" w:color="000000"/>
              <w:bottom w:val="single" w:sz="8" w:space="0" w:color="000000"/>
              <w:right w:val="single" w:sz="8" w:space="0" w:color="000000"/>
            </w:tcBorders>
          </w:tcPr>
          <w:p w:rsidR="00203371" w:rsidRDefault="00E749C4">
            <w:pPr>
              <w:spacing w:after="0" w:line="259" w:lineRule="auto"/>
              <w:ind w:left="0" w:right="55" w:firstLine="0"/>
              <w:jc w:val="center"/>
            </w:pPr>
            <w:r>
              <w:rPr>
                <w:sz w:val="22"/>
              </w:rPr>
              <w:t xml:space="preserve">36-49% </w:t>
            </w:r>
          </w:p>
        </w:tc>
        <w:tc>
          <w:tcPr>
            <w:tcW w:w="1280" w:type="dxa"/>
            <w:tcBorders>
              <w:top w:val="nil"/>
              <w:left w:val="single" w:sz="8" w:space="0" w:color="000000"/>
              <w:bottom w:val="single" w:sz="8" w:space="0" w:color="000000"/>
              <w:right w:val="single" w:sz="8" w:space="0" w:color="000000"/>
            </w:tcBorders>
          </w:tcPr>
          <w:p w:rsidR="00203371" w:rsidRDefault="00E749C4">
            <w:pPr>
              <w:spacing w:after="0" w:line="259" w:lineRule="auto"/>
              <w:ind w:left="0" w:right="55" w:firstLine="0"/>
              <w:jc w:val="center"/>
            </w:pPr>
            <w:r>
              <w:rPr>
                <w:sz w:val="22"/>
              </w:rPr>
              <w:t xml:space="preserve">3 (tres) </w:t>
            </w:r>
          </w:p>
        </w:tc>
        <w:tc>
          <w:tcPr>
            <w:tcW w:w="2120" w:type="dxa"/>
            <w:tcBorders>
              <w:top w:val="nil"/>
              <w:left w:val="single" w:sz="8" w:space="0" w:color="000000"/>
              <w:bottom w:val="single" w:sz="8" w:space="0" w:color="000000"/>
              <w:right w:val="single" w:sz="8" w:space="0" w:color="000000"/>
            </w:tcBorders>
          </w:tcPr>
          <w:p w:rsidR="00203371" w:rsidRDefault="00203371">
            <w:pPr>
              <w:spacing w:after="160" w:line="259" w:lineRule="auto"/>
              <w:ind w:left="0" w:firstLine="0"/>
              <w:jc w:val="left"/>
            </w:pPr>
          </w:p>
        </w:tc>
        <w:tc>
          <w:tcPr>
            <w:tcW w:w="2120" w:type="dxa"/>
            <w:tcBorders>
              <w:top w:val="nil"/>
              <w:left w:val="single" w:sz="8" w:space="0" w:color="000000"/>
              <w:bottom w:val="single" w:sz="8" w:space="0" w:color="000000"/>
              <w:right w:val="single" w:sz="8" w:space="0" w:color="000000"/>
            </w:tcBorders>
          </w:tcPr>
          <w:p w:rsidR="00203371" w:rsidRDefault="00203371">
            <w:pPr>
              <w:spacing w:after="160" w:line="259" w:lineRule="auto"/>
              <w:ind w:left="0" w:firstLine="0"/>
              <w:jc w:val="left"/>
            </w:pPr>
          </w:p>
        </w:tc>
      </w:tr>
      <w:tr w:rsidR="00203371">
        <w:trPr>
          <w:trHeight w:val="480"/>
        </w:trPr>
        <w:tc>
          <w:tcPr>
            <w:tcW w:w="124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50-59% </w:t>
            </w:r>
          </w:p>
        </w:tc>
        <w:tc>
          <w:tcPr>
            <w:tcW w:w="128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4 (cuatro) </w:t>
            </w:r>
          </w:p>
        </w:tc>
        <w:tc>
          <w:tcPr>
            <w:tcW w:w="2120" w:type="dxa"/>
            <w:vMerge w:val="restart"/>
            <w:tcBorders>
              <w:top w:val="single" w:sz="8" w:space="0" w:color="000000"/>
              <w:left w:val="single" w:sz="8" w:space="0" w:color="000000"/>
              <w:bottom w:val="nil"/>
              <w:right w:val="single" w:sz="8" w:space="0" w:color="000000"/>
            </w:tcBorders>
            <w:vAlign w:val="bottom"/>
          </w:tcPr>
          <w:p w:rsidR="00203371" w:rsidRDefault="00E749C4">
            <w:pPr>
              <w:spacing w:after="0" w:line="259" w:lineRule="auto"/>
              <w:ind w:left="0" w:right="10" w:firstLine="0"/>
              <w:jc w:val="center"/>
            </w:pPr>
            <w:r>
              <w:rPr>
                <w:sz w:val="22"/>
              </w:rPr>
              <w:t xml:space="preserve"> </w:t>
            </w:r>
          </w:p>
          <w:p w:rsidR="00203371" w:rsidRDefault="00E749C4">
            <w:pPr>
              <w:spacing w:after="0" w:line="259" w:lineRule="auto"/>
              <w:ind w:left="0" w:right="65" w:firstLine="0"/>
              <w:jc w:val="center"/>
            </w:pPr>
            <w:r>
              <w:rPr>
                <w:sz w:val="22"/>
              </w:rPr>
              <w:t xml:space="preserve">aprobado </w:t>
            </w:r>
          </w:p>
        </w:tc>
        <w:tc>
          <w:tcPr>
            <w:tcW w:w="2120" w:type="dxa"/>
            <w:vMerge w:val="restart"/>
            <w:tcBorders>
              <w:top w:val="single" w:sz="8" w:space="0" w:color="000000"/>
              <w:left w:val="single" w:sz="8" w:space="0" w:color="000000"/>
              <w:bottom w:val="nil"/>
              <w:right w:val="single" w:sz="8" w:space="0" w:color="000000"/>
            </w:tcBorders>
            <w:vAlign w:val="bottom"/>
          </w:tcPr>
          <w:p w:rsidR="00203371" w:rsidRDefault="00E749C4">
            <w:pPr>
              <w:spacing w:after="0" w:line="259" w:lineRule="auto"/>
              <w:ind w:left="0" w:right="19" w:firstLine="0"/>
              <w:jc w:val="center"/>
            </w:pPr>
            <w:r>
              <w:rPr>
                <w:i/>
                <w:sz w:val="22"/>
              </w:rPr>
              <w:t xml:space="preserve"> </w:t>
            </w:r>
          </w:p>
          <w:p w:rsidR="00203371" w:rsidRDefault="00E749C4">
            <w:pPr>
              <w:spacing w:after="0" w:line="259" w:lineRule="auto"/>
              <w:ind w:left="0" w:right="74" w:firstLine="0"/>
              <w:jc w:val="center"/>
            </w:pPr>
            <w:r>
              <w:rPr>
                <w:i/>
                <w:sz w:val="22"/>
              </w:rPr>
              <w:t xml:space="preserve">meritus </w:t>
            </w:r>
          </w:p>
        </w:tc>
      </w:tr>
      <w:tr w:rsidR="00203371">
        <w:trPr>
          <w:trHeight w:val="151"/>
        </w:trPr>
        <w:tc>
          <w:tcPr>
            <w:tcW w:w="1240" w:type="dxa"/>
            <w:tcBorders>
              <w:top w:val="single" w:sz="8" w:space="0" w:color="000000"/>
              <w:left w:val="single" w:sz="8" w:space="0" w:color="000000"/>
              <w:bottom w:val="nil"/>
              <w:right w:val="single" w:sz="8" w:space="0" w:color="000000"/>
            </w:tcBorders>
          </w:tcPr>
          <w:p w:rsidR="00203371" w:rsidRDefault="00203371">
            <w:pPr>
              <w:spacing w:after="160" w:line="259" w:lineRule="auto"/>
              <w:ind w:left="0" w:firstLine="0"/>
              <w:jc w:val="left"/>
            </w:pPr>
          </w:p>
        </w:tc>
        <w:tc>
          <w:tcPr>
            <w:tcW w:w="1280" w:type="dxa"/>
            <w:tcBorders>
              <w:top w:val="single" w:sz="8" w:space="0" w:color="000000"/>
              <w:left w:val="single" w:sz="8" w:space="0" w:color="000000"/>
              <w:bottom w:val="nil"/>
              <w:right w:val="single" w:sz="8" w:space="0" w:color="000000"/>
            </w:tcBorders>
          </w:tcPr>
          <w:p w:rsidR="00203371" w:rsidRDefault="00203371">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rsidR="00203371" w:rsidRDefault="00203371">
            <w:pPr>
              <w:spacing w:after="160" w:line="259" w:lineRule="auto"/>
              <w:ind w:left="0" w:firstLine="0"/>
              <w:jc w:val="left"/>
            </w:pPr>
          </w:p>
        </w:tc>
        <w:tc>
          <w:tcPr>
            <w:tcW w:w="0" w:type="auto"/>
            <w:vMerge/>
            <w:tcBorders>
              <w:top w:val="nil"/>
              <w:left w:val="single" w:sz="8" w:space="0" w:color="000000"/>
              <w:bottom w:val="nil"/>
              <w:right w:val="single" w:sz="8" w:space="0" w:color="000000"/>
            </w:tcBorders>
          </w:tcPr>
          <w:p w:rsidR="00203371" w:rsidRDefault="00203371">
            <w:pPr>
              <w:spacing w:after="160" w:line="259" w:lineRule="auto"/>
              <w:ind w:left="0" w:firstLine="0"/>
              <w:jc w:val="left"/>
            </w:pPr>
          </w:p>
        </w:tc>
      </w:tr>
      <w:tr w:rsidR="00203371">
        <w:trPr>
          <w:trHeight w:val="329"/>
        </w:trPr>
        <w:tc>
          <w:tcPr>
            <w:tcW w:w="1240" w:type="dxa"/>
            <w:tcBorders>
              <w:top w:val="nil"/>
              <w:left w:val="single" w:sz="8" w:space="0" w:color="000000"/>
              <w:bottom w:val="single" w:sz="8" w:space="0" w:color="000000"/>
              <w:right w:val="single" w:sz="8" w:space="0" w:color="000000"/>
            </w:tcBorders>
          </w:tcPr>
          <w:p w:rsidR="00203371" w:rsidRDefault="00E749C4">
            <w:pPr>
              <w:spacing w:after="0" w:line="259" w:lineRule="auto"/>
              <w:ind w:left="0" w:right="55" w:firstLine="0"/>
              <w:jc w:val="center"/>
            </w:pPr>
            <w:r>
              <w:rPr>
                <w:sz w:val="22"/>
              </w:rPr>
              <w:t xml:space="preserve">60-69% </w:t>
            </w:r>
          </w:p>
        </w:tc>
        <w:tc>
          <w:tcPr>
            <w:tcW w:w="1280" w:type="dxa"/>
            <w:tcBorders>
              <w:top w:val="nil"/>
              <w:left w:val="single" w:sz="8" w:space="0" w:color="000000"/>
              <w:bottom w:val="single" w:sz="8" w:space="0" w:color="000000"/>
              <w:right w:val="single" w:sz="8" w:space="0" w:color="000000"/>
            </w:tcBorders>
          </w:tcPr>
          <w:p w:rsidR="00203371" w:rsidRDefault="00E749C4">
            <w:pPr>
              <w:spacing w:after="0" w:line="259" w:lineRule="auto"/>
              <w:ind w:left="0" w:right="55" w:firstLine="0"/>
              <w:jc w:val="center"/>
            </w:pPr>
            <w:r>
              <w:rPr>
                <w:sz w:val="22"/>
              </w:rPr>
              <w:t xml:space="preserve">5 (cinco) </w:t>
            </w:r>
          </w:p>
        </w:tc>
        <w:tc>
          <w:tcPr>
            <w:tcW w:w="2120" w:type="dxa"/>
            <w:tcBorders>
              <w:top w:val="nil"/>
              <w:left w:val="single" w:sz="8" w:space="0" w:color="000000"/>
              <w:bottom w:val="single" w:sz="8" w:space="0" w:color="000000"/>
              <w:right w:val="single" w:sz="8" w:space="0" w:color="000000"/>
            </w:tcBorders>
          </w:tcPr>
          <w:p w:rsidR="00203371" w:rsidRDefault="00203371">
            <w:pPr>
              <w:spacing w:after="160" w:line="259" w:lineRule="auto"/>
              <w:ind w:left="0" w:firstLine="0"/>
              <w:jc w:val="left"/>
            </w:pPr>
          </w:p>
        </w:tc>
        <w:tc>
          <w:tcPr>
            <w:tcW w:w="2120" w:type="dxa"/>
            <w:tcBorders>
              <w:top w:val="nil"/>
              <w:left w:val="single" w:sz="8" w:space="0" w:color="000000"/>
              <w:bottom w:val="single" w:sz="8" w:space="0" w:color="000000"/>
              <w:right w:val="single" w:sz="8" w:space="0" w:color="000000"/>
            </w:tcBorders>
          </w:tcPr>
          <w:p w:rsidR="00203371" w:rsidRDefault="00203371">
            <w:pPr>
              <w:spacing w:after="160" w:line="259" w:lineRule="auto"/>
              <w:ind w:left="0" w:firstLine="0"/>
              <w:jc w:val="left"/>
            </w:pPr>
          </w:p>
        </w:tc>
      </w:tr>
      <w:tr w:rsidR="00203371">
        <w:trPr>
          <w:trHeight w:val="480"/>
        </w:trPr>
        <w:tc>
          <w:tcPr>
            <w:tcW w:w="124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70-76% </w:t>
            </w:r>
          </w:p>
        </w:tc>
        <w:tc>
          <w:tcPr>
            <w:tcW w:w="128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6 (seis) </w:t>
            </w:r>
          </w:p>
        </w:tc>
        <w:tc>
          <w:tcPr>
            <w:tcW w:w="212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65" w:firstLine="0"/>
              <w:jc w:val="center"/>
            </w:pPr>
            <w:r>
              <w:rPr>
                <w:sz w:val="22"/>
              </w:rPr>
              <w:t xml:space="preserve">bueno </w:t>
            </w:r>
          </w:p>
        </w:tc>
        <w:tc>
          <w:tcPr>
            <w:tcW w:w="212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74" w:firstLine="0"/>
              <w:jc w:val="center"/>
            </w:pPr>
            <w:r>
              <w:rPr>
                <w:i/>
                <w:sz w:val="22"/>
              </w:rPr>
              <w:t xml:space="preserve">benemeritus </w:t>
            </w:r>
          </w:p>
        </w:tc>
      </w:tr>
      <w:tr w:rsidR="00203371">
        <w:trPr>
          <w:trHeight w:val="480"/>
        </w:trPr>
        <w:tc>
          <w:tcPr>
            <w:tcW w:w="124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17" w:firstLine="0"/>
              <w:jc w:val="left"/>
            </w:pPr>
            <w:r>
              <w:rPr>
                <w:sz w:val="22"/>
              </w:rPr>
              <w:t xml:space="preserve">77% - 84% </w:t>
            </w:r>
          </w:p>
        </w:tc>
        <w:tc>
          <w:tcPr>
            <w:tcW w:w="128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55" w:firstLine="0"/>
              <w:jc w:val="center"/>
            </w:pPr>
            <w:r>
              <w:rPr>
                <w:sz w:val="22"/>
              </w:rPr>
              <w:t xml:space="preserve">7  </w:t>
            </w:r>
            <w:r>
              <w:rPr>
                <w:sz w:val="22"/>
              </w:rPr>
              <w:t xml:space="preserve">(siete) </w:t>
            </w:r>
          </w:p>
        </w:tc>
        <w:tc>
          <w:tcPr>
            <w:tcW w:w="212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65" w:firstLine="0"/>
              <w:jc w:val="center"/>
            </w:pPr>
            <w:r>
              <w:rPr>
                <w:sz w:val="22"/>
              </w:rPr>
              <w:t xml:space="preserve">muy bueno </w:t>
            </w:r>
          </w:p>
        </w:tc>
        <w:tc>
          <w:tcPr>
            <w:tcW w:w="2120" w:type="dxa"/>
            <w:tcBorders>
              <w:top w:val="single" w:sz="8" w:space="0" w:color="000000"/>
              <w:left w:val="single" w:sz="8" w:space="0" w:color="000000"/>
              <w:bottom w:val="single" w:sz="8" w:space="0" w:color="000000"/>
              <w:right w:val="single" w:sz="8" w:space="0" w:color="000000"/>
            </w:tcBorders>
            <w:vAlign w:val="center"/>
          </w:tcPr>
          <w:p w:rsidR="00203371" w:rsidRDefault="00E749C4">
            <w:pPr>
              <w:spacing w:after="0" w:line="259" w:lineRule="auto"/>
              <w:ind w:left="0" w:right="74" w:firstLine="0"/>
              <w:jc w:val="center"/>
            </w:pPr>
            <w:r>
              <w:rPr>
                <w:i/>
                <w:sz w:val="22"/>
              </w:rPr>
              <w:t xml:space="preserve">meritissimus </w:t>
            </w:r>
          </w:p>
        </w:tc>
      </w:tr>
      <w:tr w:rsidR="00203371">
        <w:trPr>
          <w:trHeight w:val="480"/>
        </w:trPr>
        <w:tc>
          <w:tcPr>
            <w:tcW w:w="12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3" w:firstLine="0"/>
              <w:jc w:val="center"/>
            </w:pPr>
            <w:r>
              <w:rPr>
                <w:sz w:val="22"/>
              </w:rPr>
              <w:t xml:space="preserve">85-89% </w:t>
            </w:r>
          </w:p>
        </w:tc>
        <w:tc>
          <w:tcPr>
            <w:tcW w:w="12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3" w:firstLine="0"/>
              <w:jc w:val="center"/>
            </w:pPr>
            <w:r>
              <w:rPr>
                <w:sz w:val="22"/>
              </w:rPr>
              <w:t xml:space="preserve">8 (ocho) </w:t>
            </w:r>
          </w:p>
        </w:tc>
        <w:tc>
          <w:tcPr>
            <w:tcW w:w="21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3" w:firstLine="0"/>
              <w:jc w:val="center"/>
            </w:pPr>
            <w:r>
              <w:rPr>
                <w:sz w:val="22"/>
              </w:rPr>
              <w:t xml:space="preserve">notable </w:t>
            </w:r>
          </w:p>
        </w:tc>
        <w:tc>
          <w:tcPr>
            <w:tcW w:w="21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0" w:right="7" w:firstLine="0"/>
              <w:jc w:val="center"/>
            </w:pPr>
            <w:r>
              <w:rPr>
                <w:i/>
                <w:sz w:val="22"/>
              </w:rPr>
              <w:t xml:space="preserve">cum laude </w:t>
            </w:r>
          </w:p>
        </w:tc>
      </w:tr>
      <w:tr w:rsidR="00203371">
        <w:trPr>
          <w:trHeight w:val="480"/>
        </w:trPr>
        <w:tc>
          <w:tcPr>
            <w:tcW w:w="12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3" w:firstLine="0"/>
              <w:jc w:val="center"/>
            </w:pPr>
            <w:r>
              <w:rPr>
                <w:sz w:val="22"/>
              </w:rPr>
              <w:t xml:space="preserve">90-94% </w:t>
            </w:r>
          </w:p>
        </w:tc>
        <w:tc>
          <w:tcPr>
            <w:tcW w:w="12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3" w:firstLine="0"/>
              <w:jc w:val="center"/>
            </w:pPr>
            <w:r>
              <w:rPr>
                <w:sz w:val="22"/>
              </w:rPr>
              <w:t xml:space="preserve">9 (nueve) </w:t>
            </w:r>
          </w:p>
        </w:tc>
        <w:tc>
          <w:tcPr>
            <w:tcW w:w="21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3" w:firstLine="0"/>
              <w:jc w:val="center"/>
            </w:pPr>
            <w:r>
              <w:rPr>
                <w:sz w:val="22"/>
              </w:rPr>
              <w:t xml:space="preserve">distinguido </w:t>
            </w:r>
          </w:p>
        </w:tc>
        <w:tc>
          <w:tcPr>
            <w:tcW w:w="21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0" w:right="7" w:firstLine="0"/>
              <w:jc w:val="center"/>
            </w:pPr>
            <w:r>
              <w:rPr>
                <w:i/>
                <w:sz w:val="22"/>
              </w:rPr>
              <w:t xml:space="preserve">magna cum laude </w:t>
            </w:r>
          </w:p>
        </w:tc>
      </w:tr>
      <w:tr w:rsidR="00203371">
        <w:trPr>
          <w:trHeight w:val="480"/>
        </w:trPr>
        <w:tc>
          <w:tcPr>
            <w:tcW w:w="12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3" w:firstLine="0"/>
              <w:jc w:val="center"/>
            </w:pPr>
            <w:r>
              <w:rPr>
                <w:sz w:val="22"/>
              </w:rPr>
              <w:t xml:space="preserve">95-100% </w:t>
            </w:r>
          </w:p>
        </w:tc>
        <w:tc>
          <w:tcPr>
            <w:tcW w:w="12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3" w:firstLine="0"/>
              <w:jc w:val="center"/>
            </w:pPr>
            <w:r>
              <w:rPr>
                <w:sz w:val="22"/>
              </w:rPr>
              <w:t xml:space="preserve">10 (diez) </w:t>
            </w:r>
          </w:p>
        </w:tc>
        <w:tc>
          <w:tcPr>
            <w:tcW w:w="21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3" w:firstLine="0"/>
              <w:jc w:val="center"/>
            </w:pPr>
            <w:r>
              <w:rPr>
                <w:sz w:val="22"/>
              </w:rPr>
              <w:t xml:space="preserve">sobresaliente </w:t>
            </w:r>
          </w:p>
        </w:tc>
        <w:tc>
          <w:tcPr>
            <w:tcW w:w="21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0" w:right="7" w:firstLine="0"/>
              <w:jc w:val="center"/>
            </w:pPr>
            <w:r>
              <w:rPr>
                <w:i/>
                <w:sz w:val="22"/>
              </w:rPr>
              <w:t xml:space="preserve">summa cum laude </w:t>
            </w:r>
          </w:p>
        </w:tc>
      </w:tr>
    </w:tbl>
    <w:p w:rsidR="00203371" w:rsidRDefault="00E749C4">
      <w:pPr>
        <w:spacing w:after="0" w:line="259" w:lineRule="auto"/>
        <w:ind w:left="0" w:firstLine="0"/>
        <w:jc w:val="left"/>
      </w:pPr>
      <w:r>
        <w:rPr>
          <w:sz w:val="22"/>
        </w:rPr>
        <w:t xml:space="preserve"> </w:t>
      </w:r>
    </w:p>
    <w:p w:rsidR="00203371" w:rsidRDefault="00E749C4">
      <w:pPr>
        <w:spacing w:after="8" w:line="259" w:lineRule="auto"/>
        <w:ind w:left="0" w:firstLine="0"/>
        <w:jc w:val="left"/>
      </w:pPr>
      <w:r>
        <w:rPr>
          <w:sz w:val="22"/>
        </w:rPr>
        <w:t xml:space="preserve"> </w:t>
      </w:r>
    </w:p>
    <w:p w:rsidR="00203371" w:rsidRDefault="00E749C4">
      <w:pPr>
        <w:tabs>
          <w:tab w:val="center" w:pos="6184"/>
        </w:tabs>
        <w:spacing w:after="3" w:line="265" w:lineRule="auto"/>
        <w:ind w:left="-15" w:firstLine="0"/>
        <w:jc w:val="left"/>
      </w:pPr>
      <w:r>
        <w:rPr>
          <w:b/>
          <w:sz w:val="22"/>
        </w:rPr>
        <w:t>(CRONOGRAMA en la próxima página)</w:t>
      </w:r>
      <w:r>
        <w:rPr>
          <w:b/>
          <w:sz w:val="22"/>
        </w:rPr>
        <w:tab/>
        <w:t xml:space="preserve"> </w:t>
      </w:r>
      <w:r>
        <w:br w:type="page"/>
      </w:r>
    </w:p>
    <w:p w:rsidR="00203371" w:rsidRDefault="00E749C4">
      <w:pPr>
        <w:numPr>
          <w:ilvl w:val="0"/>
          <w:numId w:val="3"/>
        </w:numPr>
        <w:spacing w:after="3" w:line="265" w:lineRule="auto"/>
        <w:ind w:hanging="360"/>
        <w:jc w:val="left"/>
      </w:pPr>
      <w:r>
        <w:rPr>
          <w:b/>
          <w:sz w:val="22"/>
        </w:rPr>
        <w:t xml:space="preserve">ORGANIZACIÓN SEMANAL DE LA ACTIVIDAD </w:t>
      </w:r>
      <w:r>
        <w:rPr>
          <w:b/>
          <w:sz w:val="22"/>
        </w:rPr>
        <w:t xml:space="preserve">PRESENCIAL (Orientadora) </w:t>
      </w:r>
    </w:p>
    <w:p w:rsidR="00203371" w:rsidRDefault="00E749C4">
      <w:pPr>
        <w:spacing w:after="0" w:line="238" w:lineRule="auto"/>
        <w:ind w:left="0" w:right="6" w:firstLine="0"/>
      </w:pPr>
      <w:r>
        <w:rPr>
          <w:sz w:val="22"/>
        </w:rPr>
        <w:t>Habitualmente, las clases son virtuales sincrónicas los viernes de 18:00 a 20:00 h. En algunas ocasiones, serán de 19:00 a 21:00. El examen parcial y su recuperatorio son presenciales en la sede Centro en el mismo horario (Tucumán</w:t>
      </w:r>
      <w:r>
        <w:rPr>
          <w:sz w:val="22"/>
        </w:rPr>
        <w:t xml:space="preserve"> 1845, CABA). El día y horario de las mesas de examen final serán convenidos entre esta cátedra y la Dirección oportunamente.  </w:t>
      </w:r>
    </w:p>
    <w:p w:rsidR="00203371" w:rsidRDefault="00E749C4">
      <w:pPr>
        <w:spacing w:after="0" w:line="259" w:lineRule="auto"/>
        <w:ind w:left="360" w:firstLine="0"/>
        <w:jc w:val="left"/>
      </w:pPr>
      <w:r>
        <w:rPr>
          <w:b/>
          <w:sz w:val="22"/>
        </w:rPr>
        <w:t xml:space="preserve"> </w:t>
      </w:r>
    </w:p>
    <w:tbl>
      <w:tblPr>
        <w:tblStyle w:val="TableGrid"/>
        <w:tblW w:w="9618" w:type="dxa"/>
        <w:tblInd w:w="98" w:type="dxa"/>
        <w:tblCellMar>
          <w:top w:w="72" w:type="dxa"/>
          <w:left w:w="18" w:type="dxa"/>
          <w:bottom w:w="0" w:type="dxa"/>
          <w:right w:w="56" w:type="dxa"/>
        </w:tblCellMar>
        <w:tblLook w:val="04A0" w:firstRow="1" w:lastRow="0" w:firstColumn="1" w:lastColumn="0" w:noHBand="0" w:noVBand="1"/>
      </w:tblPr>
      <w:tblGrid>
        <w:gridCol w:w="598"/>
        <w:gridCol w:w="800"/>
        <w:gridCol w:w="3000"/>
        <w:gridCol w:w="1020"/>
        <w:gridCol w:w="1020"/>
        <w:gridCol w:w="940"/>
        <w:gridCol w:w="1260"/>
        <w:gridCol w:w="980"/>
      </w:tblGrid>
      <w:tr w:rsidR="00203371">
        <w:trPr>
          <w:trHeight w:val="480"/>
        </w:trPr>
        <w:tc>
          <w:tcPr>
            <w:tcW w:w="598"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21" w:firstLine="0"/>
            </w:pPr>
            <w:r>
              <w:rPr>
                <w:b/>
                <w:sz w:val="20"/>
              </w:rPr>
              <w:t xml:space="preserve">Sem. </w:t>
            </w:r>
          </w:p>
        </w:tc>
        <w:tc>
          <w:tcPr>
            <w:tcW w:w="80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133" w:firstLine="0"/>
              <w:jc w:val="left"/>
            </w:pPr>
            <w:r>
              <w:rPr>
                <w:b/>
                <w:sz w:val="20"/>
              </w:rPr>
              <w:t xml:space="preserve">Fecha </w:t>
            </w:r>
          </w:p>
        </w:tc>
        <w:tc>
          <w:tcPr>
            <w:tcW w:w="300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46" w:firstLine="0"/>
              <w:jc w:val="center"/>
            </w:pPr>
            <w:r>
              <w:rPr>
                <w:b/>
                <w:sz w:val="20"/>
              </w:rPr>
              <w:t xml:space="preserve">Unidad Temática </w:t>
            </w:r>
          </w:p>
        </w:tc>
        <w:tc>
          <w:tcPr>
            <w:tcW w:w="1020" w:type="dxa"/>
            <w:tcBorders>
              <w:top w:val="single" w:sz="8" w:space="0" w:color="000000"/>
              <w:left w:val="single" w:sz="8" w:space="0" w:color="000000"/>
              <w:bottom w:val="single" w:sz="8" w:space="0" w:color="000000"/>
              <w:right w:val="single" w:sz="8" w:space="0" w:color="000000"/>
            </w:tcBorders>
            <w:shd w:val="clear" w:color="auto" w:fill="D9D9D9"/>
          </w:tcPr>
          <w:p w:rsidR="00203371" w:rsidRDefault="00E749C4">
            <w:pPr>
              <w:spacing w:after="0" w:line="259" w:lineRule="auto"/>
              <w:ind w:left="0" w:firstLine="0"/>
              <w:jc w:val="center"/>
            </w:pPr>
            <w:r>
              <w:rPr>
                <w:b/>
                <w:sz w:val="20"/>
              </w:rPr>
              <w:t xml:space="preserve">Horas Teóricas </w:t>
            </w:r>
          </w:p>
        </w:tc>
        <w:tc>
          <w:tcPr>
            <w:tcW w:w="1020" w:type="dxa"/>
            <w:tcBorders>
              <w:top w:val="single" w:sz="8" w:space="0" w:color="000000"/>
              <w:left w:val="single" w:sz="8" w:space="0" w:color="000000"/>
              <w:bottom w:val="single" w:sz="8" w:space="0" w:color="000000"/>
              <w:right w:val="single" w:sz="8" w:space="0" w:color="000000"/>
            </w:tcBorders>
            <w:shd w:val="clear" w:color="auto" w:fill="D9D9D9"/>
          </w:tcPr>
          <w:p w:rsidR="00203371" w:rsidRDefault="00E749C4">
            <w:pPr>
              <w:spacing w:after="0" w:line="259" w:lineRule="auto"/>
              <w:ind w:left="0" w:firstLine="0"/>
              <w:jc w:val="center"/>
            </w:pPr>
            <w:r>
              <w:rPr>
                <w:b/>
                <w:sz w:val="20"/>
              </w:rPr>
              <w:t xml:space="preserve">Horas Prácticas </w:t>
            </w:r>
          </w:p>
        </w:tc>
        <w:tc>
          <w:tcPr>
            <w:tcW w:w="9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101" w:firstLine="0"/>
              <w:jc w:val="left"/>
            </w:pPr>
            <w:r>
              <w:rPr>
                <w:b/>
                <w:sz w:val="20"/>
              </w:rPr>
              <w:t xml:space="preserve">Tutorías </w:t>
            </w:r>
          </w:p>
        </w:tc>
        <w:tc>
          <w:tcPr>
            <w:tcW w:w="126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203371" w:rsidRDefault="00E749C4">
            <w:pPr>
              <w:spacing w:after="0" w:line="259" w:lineRule="auto"/>
              <w:ind w:left="0" w:firstLine="0"/>
            </w:pPr>
            <w:r>
              <w:rPr>
                <w:b/>
                <w:sz w:val="20"/>
              </w:rPr>
              <w:t xml:space="preserve">Evaluaciones </w:t>
            </w:r>
          </w:p>
        </w:tc>
        <w:tc>
          <w:tcPr>
            <w:tcW w:w="980" w:type="dxa"/>
            <w:tcBorders>
              <w:top w:val="single" w:sz="8" w:space="0" w:color="000000"/>
              <w:left w:val="single" w:sz="8" w:space="0" w:color="000000"/>
              <w:bottom w:val="single" w:sz="8" w:space="0" w:color="000000"/>
              <w:right w:val="single" w:sz="8" w:space="0" w:color="000000"/>
            </w:tcBorders>
            <w:shd w:val="clear" w:color="auto" w:fill="D9D9D9"/>
          </w:tcPr>
          <w:p w:rsidR="00203371" w:rsidRDefault="00E749C4">
            <w:pPr>
              <w:spacing w:after="0" w:line="259" w:lineRule="auto"/>
              <w:ind w:left="0" w:firstLine="0"/>
              <w:jc w:val="center"/>
            </w:pPr>
            <w:r>
              <w:rPr>
                <w:b/>
                <w:sz w:val="20"/>
              </w:rPr>
              <w:t xml:space="preserve">Otras Activ.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88" w:firstLine="0"/>
              <w:jc w:val="left"/>
            </w:pPr>
            <w:r>
              <w:rPr>
                <w:b/>
                <w:sz w:val="20"/>
              </w:rPr>
              <w:t xml:space="preserve">-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31/7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ASUETO </w:t>
            </w:r>
            <w:r>
              <w:rPr>
                <w:b/>
                <w:sz w:val="20"/>
              </w:rPr>
              <w:t xml:space="preserve">ESTUDIANTIL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36" w:firstLine="0"/>
              <w:jc w:val="center"/>
            </w:pPr>
            <w:r>
              <w:rPr>
                <w:b/>
                <w:sz w:val="20"/>
              </w:rPr>
              <w:t xml:space="preserve">- </w:t>
            </w:r>
          </w:p>
        </w:tc>
      </w:tr>
      <w:tr w:rsidR="00203371">
        <w:trPr>
          <w:trHeight w:val="42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1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7/8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SIN CLASES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3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2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14/8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Presentación y unidad 1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3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21/8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 2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4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28/8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Unidades 3 y 4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2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5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4/9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Unidades 5 y 6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6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11/9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Unidades 7 y 8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7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18/9</w:t>
            </w:r>
            <w:r>
              <w:rPr>
                <w:b/>
                <w:sz w:val="20"/>
              </w:rPr>
              <w:t xml:space="preserve">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 9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8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25/9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 10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2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71" w:firstLine="0"/>
              <w:jc w:val="left"/>
            </w:pPr>
            <w:r>
              <w:rPr>
                <w:b/>
                <w:sz w:val="20"/>
              </w:rPr>
              <w:t xml:space="preserve">9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2/10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Unidades 11 y 12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2" w:firstLine="0"/>
              <w:jc w:val="left"/>
            </w:pPr>
            <w:r>
              <w:rPr>
                <w:b/>
                <w:sz w:val="20"/>
              </w:rPr>
              <w:t xml:space="preserve">10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9/10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 13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7" w:firstLine="0"/>
              <w:jc w:val="left"/>
            </w:pPr>
            <w:r>
              <w:rPr>
                <w:b/>
                <w:sz w:val="20"/>
              </w:rPr>
              <w:t xml:space="preserve">11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16/10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Unidad 14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2" w:firstLine="0"/>
              <w:jc w:val="left"/>
            </w:pPr>
            <w:r>
              <w:rPr>
                <w:b/>
                <w:sz w:val="20"/>
              </w:rPr>
              <w:t xml:space="preserve">12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23/10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SIN CLASES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6" w:firstLine="0"/>
              <w:jc w:val="center"/>
            </w:pPr>
            <w:r>
              <w:rPr>
                <w:b/>
                <w:sz w:val="20"/>
              </w:rPr>
              <w:t xml:space="preserve">X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36" w:firstLine="0"/>
              <w:jc w:val="center"/>
            </w:pPr>
            <w:r>
              <w:rPr>
                <w:b/>
                <w:sz w:val="20"/>
              </w:rPr>
              <w:t xml:space="preserve">- </w:t>
            </w:r>
          </w:p>
        </w:tc>
      </w:tr>
      <w:tr w:rsidR="00203371">
        <w:trPr>
          <w:trHeight w:val="42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2" w:firstLine="0"/>
              <w:jc w:val="left"/>
            </w:pPr>
            <w:r>
              <w:rPr>
                <w:b/>
                <w:sz w:val="20"/>
              </w:rPr>
              <w:t xml:space="preserve">13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30/10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Examen parcial (a confirmar)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1" w:firstLine="0"/>
              <w:jc w:val="center"/>
            </w:pPr>
            <w:r>
              <w:rPr>
                <w:b/>
                <w:sz w:val="20"/>
              </w:rPr>
              <w:t xml:space="preserve">X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2" w:firstLine="0"/>
              <w:jc w:val="left"/>
            </w:pPr>
            <w:r>
              <w:rPr>
                <w:b/>
                <w:sz w:val="20"/>
              </w:rPr>
              <w:t xml:space="preserve">14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6/11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Consultas (a confirmar)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51" w:firstLine="0"/>
              <w:jc w:val="center"/>
            </w:pPr>
            <w:r>
              <w:rPr>
                <w:b/>
                <w:sz w:val="20"/>
              </w:rPr>
              <w:t xml:space="preserve">X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2" w:firstLine="0"/>
              <w:jc w:val="left"/>
            </w:pPr>
            <w:r>
              <w:rPr>
                <w:b/>
                <w:sz w:val="20"/>
              </w:rPr>
              <w:t xml:space="preserve">15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13/11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Recuperatorio (a confirmar)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1" w:firstLine="0"/>
              <w:jc w:val="center"/>
            </w:pPr>
            <w:r>
              <w:rPr>
                <w:b/>
                <w:sz w:val="20"/>
              </w:rPr>
              <w:t xml:space="preserve">X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88" w:firstLine="0"/>
              <w:jc w:val="left"/>
            </w:pPr>
            <w:r>
              <w:rPr>
                <w:b/>
                <w:sz w:val="20"/>
              </w:rPr>
              <w:t xml:space="preserve">-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20/11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FERIADO NACIONAL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01" w:firstLine="0"/>
              <w:jc w:val="center"/>
            </w:pPr>
            <w:r>
              <w:rPr>
                <w:b/>
                <w:sz w:val="20"/>
              </w:rPr>
              <w:t xml:space="preserve">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center"/>
            </w:pPr>
            <w:r>
              <w:rPr>
                <w:b/>
                <w:sz w:val="20"/>
              </w:rPr>
              <w:t xml:space="preserve">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2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2" w:firstLine="0"/>
              <w:jc w:val="left"/>
            </w:pPr>
            <w:r>
              <w:rPr>
                <w:b/>
                <w:sz w:val="20"/>
              </w:rPr>
              <w:t xml:space="preserve">18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evaluación final / tutoría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51" w:firstLine="0"/>
              <w:jc w:val="center"/>
            </w:pPr>
            <w:r>
              <w:rPr>
                <w:b/>
                <w:sz w:val="20"/>
              </w:rPr>
              <w:t xml:space="preserve">X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1" w:firstLine="0"/>
              <w:jc w:val="center"/>
            </w:pPr>
            <w:r>
              <w:rPr>
                <w:b/>
                <w:sz w:val="20"/>
              </w:rPr>
              <w:t xml:space="preserve">X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r w:rsidR="00203371">
        <w:trPr>
          <w:trHeight w:val="400"/>
        </w:trPr>
        <w:tc>
          <w:tcPr>
            <w:tcW w:w="598"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122" w:firstLine="0"/>
              <w:jc w:val="left"/>
            </w:pPr>
            <w:r>
              <w:rPr>
                <w:b/>
                <w:sz w:val="20"/>
              </w:rPr>
              <w:t xml:space="preserve">19 </w:t>
            </w:r>
          </w:p>
        </w:tc>
        <w:tc>
          <w:tcPr>
            <w:tcW w:w="8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left"/>
            </w:pPr>
            <w:r>
              <w:rPr>
                <w:b/>
                <w:sz w:val="20"/>
              </w:rPr>
              <w:t xml:space="preserve">- </w:t>
            </w:r>
          </w:p>
        </w:tc>
        <w:tc>
          <w:tcPr>
            <w:tcW w:w="300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1" w:firstLine="0"/>
              <w:jc w:val="left"/>
            </w:pPr>
            <w:r>
              <w:rPr>
                <w:b/>
                <w:sz w:val="20"/>
              </w:rPr>
              <w:t xml:space="preserve">evaluación final / tutoría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102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96" w:firstLine="0"/>
              <w:jc w:val="center"/>
            </w:pPr>
            <w:r>
              <w:rPr>
                <w:b/>
                <w:sz w:val="20"/>
              </w:rPr>
              <w:t xml:space="preserve"> </w:t>
            </w:r>
          </w:p>
        </w:tc>
        <w:tc>
          <w:tcPr>
            <w:tcW w:w="94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51" w:firstLine="0"/>
              <w:jc w:val="center"/>
            </w:pPr>
            <w:r>
              <w:rPr>
                <w:b/>
                <w:sz w:val="20"/>
              </w:rPr>
              <w:t xml:space="preserve">X </w:t>
            </w:r>
          </w:p>
        </w:tc>
        <w:tc>
          <w:tcPr>
            <w:tcW w:w="126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41" w:firstLine="0"/>
              <w:jc w:val="center"/>
            </w:pPr>
            <w:r>
              <w:rPr>
                <w:b/>
                <w:sz w:val="20"/>
              </w:rPr>
              <w:t xml:space="preserve">X </w:t>
            </w:r>
          </w:p>
        </w:tc>
        <w:tc>
          <w:tcPr>
            <w:tcW w:w="980" w:type="dxa"/>
            <w:tcBorders>
              <w:top w:val="single" w:sz="8" w:space="0" w:color="000000"/>
              <w:left w:val="single" w:sz="8" w:space="0" w:color="000000"/>
              <w:bottom w:val="single" w:sz="8" w:space="0" w:color="000000"/>
              <w:right w:val="single" w:sz="8" w:space="0" w:color="000000"/>
            </w:tcBorders>
          </w:tcPr>
          <w:p w:rsidR="00203371" w:rsidRDefault="00E749C4">
            <w:pPr>
              <w:spacing w:after="0" w:line="259" w:lineRule="auto"/>
              <w:ind w:left="86" w:firstLine="0"/>
              <w:jc w:val="center"/>
            </w:pPr>
            <w:r>
              <w:rPr>
                <w:b/>
                <w:sz w:val="20"/>
              </w:rPr>
              <w:t xml:space="preserve"> </w:t>
            </w:r>
          </w:p>
        </w:tc>
      </w:tr>
    </w:tbl>
    <w:p w:rsidR="00203371" w:rsidRDefault="00E749C4">
      <w:pPr>
        <w:spacing w:after="0" w:line="259" w:lineRule="auto"/>
        <w:ind w:left="0" w:firstLine="0"/>
        <w:jc w:val="left"/>
      </w:pPr>
      <w:r>
        <w:rPr>
          <w:b/>
          <w:sz w:val="22"/>
        </w:rPr>
        <w:t xml:space="preserve"> </w:t>
      </w:r>
    </w:p>
    <w:p w:rsidR="00203371" w:rsidRDefault="00E749C4">
      <w:pPr>
        <w:spacing w:after="0" w:line="259" w:lineRule="auto"/>
        <w:ind w:left="0" w:firstLine="0"/>
        <w:jc w:val="left"/>
      </w:pPr>
      <w:r>
        <w:rPr>
          <w:b/>
          <w:sz w:val="22"/>
        </w:rPr>
        <w:t xml:space="preserve"> </w:t>
      </w:r>
    </w:p>
    <w:p w:rsidR="00203371" w:rsidRDefault="00E749C4">
      <w:pPr>
        <w:spacing w:after="3" w:line="265" w:lineRule="auto"/>
        <w:ind w:left="-5"/>
        <w:jc w:val="left"/>
      </w:pPr>
      <w:r>
        <w:rPr>
          <w:b/>
          <w:sz w:val="22"/>
        </w:rPr>
        <w:t xml:space="preserve">FIRMA DE DOCENTE </w:t>
      </w:r>
    </w:p>
    <w:p w:rsidR="00203371" w:rsidRDefault="00E749C4">
      <w:pPr>
        <w:spacing w:after="0" w:line="259" w:lineRule="auto"/>
        <w:ind w:left="30" w:firstLine="0"/>
        <w:jc w:val="left"/>
      </w:pPr>
      <w:r>
        <w:rPr>
          <w:noProof/>
        </w:rPr>
        <w:drawing>
          <wp:inline distT="0" distB="0" distL="0" distR="0">
            <wp:extent cx="1200150" cy="771525"/>
            <wp:effectExtent l="0" t="0" r="0" b="0"/>
            <wp:docPr id="7054" name="Picture 7054"/>
            <wp:cNvGraphicFramePr/>
            <a:graphic xmlns:a="http://schemas.openxmlformats.org/drawingml/2006/main">
              <a:graphicData uri="http://schemas.openxmlformats.org/drawingml/2006/picture">
                <pic:pic xmlns:pic="http://schemas.openxmlformats.org/drawingml/2006/picture">
                  <pic:nvPicPr>
                    <pic:cNvPr id="7054" name="Picture 7054"/>
                    <pic:cNvPicPr/>
                  </pic:nvPicPr>
                  <pic:blipFill>
                    <a:blip r:embed="rId21"/>
                    <a:stretch>
                      <a:fillRect/>
                    </a:stretch>
                  </pic:blipFill>
                  <pic:spPr>
                    <a:xfrm>
                      <a:off x="0" y="0"/>
                      <a:ext cx="1200150" cy="771525"/>
                    </a:xfrm>
                    <a:prstGeom prst="rect">
                      <a:avLst/>
                    </a:prstGeom>
                  </pic:spPr>
                </pic:pic>
              </a:graphicData>
            </a:graphic>
          </wp:inline>
        </w:drawing>
      </w:r>
      <w:r>
        <w:rPr>
          <w:b/>
          <w:sz w:val="22"/>
        </w:rPr>
        <w:t xml:space="preserve"> </w:t>
      </w:r>
    </w:p>
    <w:p w:rsidR="00203371" w:rsidRDefault="00E749C4">
      <w:pPr>
        <w:spacing w:after="0" w:line="259" w:lineRule="auto"/>
        <w:ind w:left="0" w:firstLine="0"/>
        <w:jc w:val="left"/>
      </w:pPr>
      <w:r>
        <w:rPr>
          <w:b/>
          <w:sz w:val="22"/>
        </w:rPr>
        <w:t xml:space="preserve"> </w:t>
      </w:r>
    </w:p>
    <w:p w:rsidR="00203371" w:rsidRDefault="00E749C4">
      <w:pPr>
        <w:spacing w:after="3" w:line="265" w:lineRule="auto"/>
        <w:ind w:left="-5"/>
        <w:jc w:val="left"/>
      </w:pPr>
      <w:r>
        <w:rPr>
          <w:b/>
          <w:sz w:val="22"/>
        </w:rPr>
        <w:t xml:space="preserve">FIRMA DE LA DIRECTORA DE LA CARRERA </w:t>
      </w:r>
    </w:p>
    <w:sectPr w:rsidR="00203371">
      <w:footerReference w:type="even" r:id="rId22"/>
      <w:footerReference w:type="default" r:id="rId23"/>
      <w:footerReference w:type="first" r:id="rId24"/>
      <w:pgSz w:w="11920" w:h="16840"/>
      <w:pgMar w:top="1410" w:right="1148" w:bottom="1740" w:left="1134" w:header="720" w:footer="9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749C4">
      <w:pPr>
        <w:spacing w:after="0" w:line="240" w:lineRule="auto"/>
      </w:pPr>
      <w:r>
        <w:separator/>
      </w:r>
    </w:p>
  </w:endnote>
  <w:endnote w:type="continuationSeparator" w:id="0">
    <w:p w:rsidR="00000000" w:rsidRDefault="00E74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371" w:rsidRDefault="00E749C4">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rsidR="00203371" w:rsidRDefault="00E749C4">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371" w:rsidRDefault="00E749C4">
    <w:pPr>
      <w:spacing w:after="0" w:line="259" w:lineRule="auto"/>
      <w:ind w:left="0" w:firstLine="0"/>
      <w:jc w:val="right"/>
    </w:pPr>
    <w:r>
      <w:fldChar w:fldCharType="begin"/>
    </w:r>
    <w:r>
      <w:instrText xml:space="preserve"> PAGE   \* MERGEFORMAT </w:instrText>
    </w:r>
    <w:r>
      <w:fldChar w:fldCharType="separate"/>
    </w:r>
    <w:r>
      <w:rPr>
        <w:noProof/>
      </w:rPr>
      <w:t>4</w:t>
    </w:r>
    <w:r>
      <w:fldChar w:fldCharType="end"/>
    </w:r>
    <w:r>
      <w:t xml:space="preserve"> </w:t>
    </w:r>
  </w:p>
  <w:p w:rsidR="00203371" w:rsidRDefault="00E749C4">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371" w:rsidRDefault="00E749C4">
    <w:pPr>
      <w:spacing w:after="0" w:line="259" w:lineRule="auto"/>
      <w:ind w:left="0" w:firstLine="0"/>
      <w:jc w:val="right"/>
    </w:pPr>
    <w:r>
      <w:fldChar w:fldCharType="begin"/>
    </w:r>
    <w:r>
      <w:instrText xml:space="preserve"> PAGE   \* MERGEFORMAT </w:instrText>
    </w:r>
    <w:r>
      <w:fldChar w:fldCharType="separate"/>
    </w:r>
    <w:r>
      <w:t>1</w:t>
    </w:r>
    <w:r>
      <w:fldChar w:fldCharType="end"/>
    </w:r>
    <w:r>
      <w:t xml:space="preserve"> </w:t>
    </w:r>
  </w:p>
  <w:p w:rsidR="00203371" w:rsidRDefault="00E749C4">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749C4">
      <w:pPr>
        <w:spacing w:after="0" w:line="240" w:lineRule="auto"/>
      </w:pPr>
      <w:r>
        <w:separator/>
      </w:r>
    </w:p>
  </w:footnote>
  <w:footnote w:type="continuationSeparator" w:id="0">
    <w:p w:rsidR="00000000" w:rsidRDefault="00E749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37825"/>
    <w:multiLevelType w:val="hybridMultilevel"/>
    <w:tmpl w:val="E8280D40"/>
    <w:lvl w:ilvl="0" w:tplc="D56E5AC8">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B8CF00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A4C1C3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5EE7E5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B924F5C">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60E2818">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79A6BD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8B66CA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8FC9FC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6895836"/>
    <w:multiLevelType w:val="hybridMultilevel"/>
    <w:tmpl w:val="9CFCE816"/>
    <w:lvl w:ilvl="0" w:tplc="2B28F56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98162C">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107F4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0EEE9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CEEEB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1A62E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9E92C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EEF77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CE63F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240FEE"/>
    <w:multiLevelType w:val="hybridMultilevel"/>
    <w:tmpl w:val="7E1670DE"/>
    <w:lvl w:ilvl="0" w:tplc="60F27A8C">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4E23DC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95065F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C4CDE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B04CDA">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C349D1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1CCAA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D8D5C2">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D4C1C0C">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371"/>
    <w:rsid w:val="00203371"/>
    <w:rsid w:val="00E749C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DCDE"/>
  <w15:docId w15:val="{D8779CE4-2B4E-4F4A-B176-43F224FF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4" w:line="294" w:lineRule="auto"/>
      <w:ind w:left="10" w:hanging="10"/>
      <w:jc w:val="both"/>
    </w:pPr>
    <w:rPr>
      <w:rFonts w:ascii="Times New Roman" w:eastAsia="Times New Roman" w:hAnsi="Times New Roman" w:cs="Times New Roman"/>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E74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inyurl.com/yn29sc6j" TargetMode="External"/><Relationship Id="rId13" Type="http://schemas.openxmlformats.org/officeDocument/2006/relationships/hyperlink" Target="https://tinyurl.com/2ta5r4kr" TargetMode="External"/><Relationship Id="rId18" Type="http://schemas.openxmlformats.org/officeDocument/2006/relationships/hyperlink" Target="https://bit.ly/45RJrw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jpg"/><Relationship Id="rId7" Type="http://schemas.openxmlformats.org/officeDocument/2006/relationships/image" Target="media/image1.jpg"/><Relationship Id="rId12" Type="http://schemas.openxmlformats.org/officeDocument/2006/relationships/hyperlink" Target="https://bit.ly/3WbSOnF" TargetMode="External"/><Relationship Id="rId17" Type="http://schemas.openxmlformats.org/officeDocument/2006/relationships/hyperlink" Target="https://bit.ly/4cM9J5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t.ly/3XZtSkV" TargetMode="External"/><Relationship Id="rId20" Type="http://schemas.openxmlformats.org/officeDocument/2006/relationships/hyperlink" Target="https://bit.ly/4cvppK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yurl.com/5vpk6zac"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bit.ly/3WbT8mn" TargetMode="External"/><Relationship Id="rId23" Type="http://schemas.openxmlformats.org/officeDocument/2006/relationships/footer" Target="footer2.xml"/><Relationship Id="rId10" Type="http://schemas.openxmlformats.org/officeDocument/2006/relationships/hyperlink" Target="https://tinyurl.com/y3ntekca" TargetMode="External"/><Relationship Id="rId19" Type="http://schemas.openxmlformats.org/officeDocument/2006/relationships/hyperlink" Target="https://bit.ly/4cvnXZ8" TargetMode="External"/><Relationship Id="rId4" Type="http://schemas.openxmlformats.org/officeDocument/2006/relationships/webSettings" Target="webSettings.xml"/><Relationship Id="rId9" Type="http://schemas.openxmlformats.org/officeDocument/2006/relationships/hyperlink" Target="https://tinyurl.com/y5h6mdh" TargetMode="External"/><Relationship Id="rId14" Type="http://schemas.openxmlformats.org/officeDocument/2006/relationships/hyperlink" Target="https://bit.ly/3XSJtCI" TargetMode="External"/><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3384</Words>
  <Characters>18618</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U00 Medio Oriente Contemporáneo (agosto 2026).docx</vt:lpstr>
    </vt:vector>
  </TitlesOfParts>
  <Company/>
  <LinksUpToDate>false</LinksUpToDate>
  <CharactersWithSpaces>21959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U00 Medio Oriente Contemporáneo (agosto 2026).docx</dc:title>
  <dc:subject/>
  <dc:creator>Lucio Aya Tenorio - Cs. Sociales</dc:creator>
  <cp:keywords/>
  <cp:lastModifiedBy>Lucio Aya Tenorio - Cs. Sociales</cp:lastModifiedBy>
  <cp:revision>2</cp:revision>
  <dcterms:created xsi:type="dcterms:W3CDTF">2026-09-02T17:35:00Z</dcterms:created>
  <dcterms:modified xsi:type="dcterms:W3CDTF">2026-09-02T17:35:00Z</dcterms:modified>
</cp:coreProperties>
</file>